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74B" w:rsidRPr="00A33734" w:rsidRDefault="0053474B" w:rsidP="007857DA">
      <w:pPr>
        <w:spacing w:before="120" w:after="120"/>
        <w:rPr>
          <w:rFonts w:ascii="Arial Narrow" w:hAnsi="Arial Narrow" w:cs="Arial"/>
          <w:b/>
          <w:noProof/>
          <w:sz w:val="22"/>
          <w:szCs w:val="22"/>
        </w:rPr>
      </w:pPr>
      <w:r w:rsidRPr="00A33734">
        <w:rPr>
          <w:rFonts w:ascii="Arial Narrow" w:hAnsi="Arial Narrow" w:cs="Arial"/>
          <w:b/>
          <w:noProof/>
          <w:sz w:val="22"/>
          <w:szCs w:val="22"/>
        </w:rPr>
        <w:drawing>
          <wp:anchor distT="0" distB="0" distL="114300" distR="114300" simplePos="0" relativeHeight="251658240" behindDoc="0" locked="0" layoutInCell="1" allowOverlap="1" wp14:anchorId="0FDEF199" wp14:editId="76E74296">
            <wp:simplePos x="0" y="0"/>
            <wp:positionH relativeFrom="column">
              <wp:posOffset>2189088</wp:posOffset>
            </wp:positionH>
            <wp:positionV relativeFrom="paragraph">
              <wp:align>top</wp:align>
            </wp:positionV>
            <wp:extent cx="732790" cy="791210"/>
            <wp:effectExtent l="0" t="0" r="0" b="8890"/>
            <wp:wrapSquare wrapText="bothSides"/>
            <wp:docPr id="1" name="Imagem 1" descr="Descrição: 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tr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2790" cy="791210"/>
                    </a:xfrm>
                    <a:prstGeom prst="rect">
                      <a:avLst/>
                    </a:prstGeom>
                    <a:noFill/>
                    <a:ln>
                      <a:noFill/>
                    </a:ln>
                  </pic:spPr>
                </pic:pic>
              </a:graphicData>
            </a:graphic>
          </wp:anchor>
        </w:drawing>
      </w:r>
      <w:r w:rsidR="007857DA" w:rsidRPr="00A33734">
        <w:rPr>
          <w:rFonts w:ascii="Arial Narrow" w:hAnsi="Arial Narrow" w:cs="Arial"/>
          <w:b/>
          <w:noProof/>
          <w:sz w:val="22"/>
          <w:szCs w:val="22"/>
        </w:rPr>
        <w:br w:type="textWrapping" w:clear="all"/>
      </w:r>
    </w:p>
    <w:p w:rsidR="0053474B" w:rsidRPr="00A33734" w:rsidRDefault="0053474B" w:rsidP="007857DA">
      <w:pPr>
        <w:pStyle w:val="Cabealho"/>
        <w:spacing w:before="120" w:after="120"/>
        <w:jc w:val="center"/>
        <w:rPr>
          <w:rFonts w:ascii="Arial Narrow" w:hAnsi="Arial Narrow" w:cs="Arial"/>
          <w:b/>
          <w:sz w:val="22"/>
          <w:szCs w:val="22"/>
        </w:rPr>
      </w:pPr>
      <w:r w:rsidRPr="00A33734">
        <w:rPr>
          <w:rFonts w:ascii="Arial Narrow" w:hAnsi="Arial Narrow" w:cs="Arial"/>
          <w:b/>
          <w:sz w:val="22"/>
          <w:szCs w:val="22"/>
        </w:rPr>
        <w:t>SERVIÇO PÚBLICO FEDERAL</w:t>
      </w:r>
    </w:p>
    <w:p w:rsidR="0053474B" w:rsidRPr="00A33734" w:rsidRDefault="0053474B" w:rsidP="007857DA">
      <w:pPr>
        <w:pStyle w:val="Cabealho"/>
        <w:tabs>
          <w:tab w:val="clear" w:pos="4252"/>
          <w:tab w:val="clear" w:pos="8504"/>
        </w:tabs>
        <w:spacing w:before="120" w:after="120"/>
        <w:jc w:val="center"/>
        <w:rPr>
          <w:rFonts w:ascii="Arial Narrow" w:hAnsi="Arial Narrow" w:cs="Arial"/>
          <w:b/>
          <w:sz w:val="22"/>
          <w:szCs w:val="22"/>
        </w:rPr>
      </w:pPr>
      <w:r w:rsidRPr="00A33734">
        <w:rPr>
          <w:rFonts w:ascii="Arial Narrow" w:hAnsi="Arial Narrow" w:cs="Arial"/>
          <w:b/>
          <w:sz w:val="22"/>
          <w:szCs w:val="22"/>
        </w:rPr>
        <w:t>MJ – DEPARTAMENTO DE POLÍCIA FEDERAL</w:t>
      </w:r>
    </w:p>
    <w:p w:rsidR="0053474B" w:rsidRPr="00A33734" w:rsidRDefault="0053474B" w:rsidP="007857DA">
      <w:pPr>
        <w:pStyle w:val="Cabealho"/>
        <w:tabs>
          <w:tab w:val="clear" w:pos="4252"/>
          <w:tab w:val="clear" w:pos="8504"/>
        </w:tabs>
        <w:spacing w:before="120" w:after="120"/>
        <w:jc w:val="center"/>
        <w:rPr>
          <w:rFonts w:ascii="Arial Narrow" w:hAnsi="Arial Narrow" w:cs="Arial"/>
          <w:b/>
          <w:sz w:val="22"/>
          <w:szCs w:val="22"/>
        </w:rPr>
      </w:pPr>
      <w:r w:rsidRPr="00A33734">
        <w:rPr>
          <w:rFonts w:ascii="Arial Narrow" w:hAnsi="Arial Narrow" w:cs="Arial"/>
          <w:b/>
          <w:sz w:val="22"/>
          <w:szCs w:val="22"/>
        </w:rPr>
        <w:t>DLOG – COORDENAÇÃO DE ADMINISTRAÇÃO</w:t>
      </w:r>
    </w:p>
    <w:p w:rsidR="0053474B" w:rsidRPr="00A33734" w:rsidRDefault="0053474B" w:rsidP="007857DA">
      <w:pPr>
        <w:spacing w:before="120" w:after="120"/>
        <w:jc w:val="center"/>
        <w:rPr>
          <w:rFonts w:cs="Times New Roman"/>
          <w:b/>
          <w:bCs/>
          <w:iCs/>
          <w:sz w:val="22"/>
          <w:szCs w:val="22"/>
        </w:rPr>
      </w:pPr>
    </w:p>
    <w:p w:rsidR="00E0568D" w:rsidRPr="00A33734" w:rsidRDefault="00E0568D" w:rsidP="007857DA">
      <w:pPr>
        <w:spacing w:before="120" w:after="120"/>
        <w:jc w:val="center"/>
        <w:rPr>
          <w:rFonts w:cs="Times New Roman"/>
          <w:b/>
          <w:bCs/>
          <w:sz w:val="22"/>
          <w:szCs w:val="22"/>
        </w:rPr>
      </w:pPr>
      <w:r w:rsidRPr="00A33734">
        <w:rPr>
          <w:rFonts w:cs="Times New Roman"/>
          <w:b/>
          <w:bCs/>
          <w:sz w:val="22"/>
          <w:szCs w:val="22"/>
        </w:rPr>
        <w:t xml:space="preserve">PREGÃO ELETRÔNICO Nº </w:t>
      </w:r>
      <w:r w:rsidR="00191E33" w:rsidRPr="00A33734">
        <w:rPr>
          <w:rFonts w:cs="Times New Roman"/>
          <w:b/>
          <w:bCs/>
          <w:sz w:val="22"/>
          <w:szCs w:val="22"/>
        </w:rPr>
        <w:t>XX</w:t>
      </w:r>
      <w:r w:rsidRPr="00A33734">
        <w:rPr>
          <w:rFonts w:cs="Times New Roman"/>
          <w:b/>
          <w:bCs/>
          <w:sz w:val="22"/>
          <w:szCs w:val="22"/>
        </w:rPr>
        <w:t>/20</w:t>
      </w:r>
      <w:r w:rsidR="0053474B" w:rsidRPr="00A33734">
        <w:rPr>
          <w:rFonts w:cs="Times New Roman"/>
          <w:b/>
          <w:bCs/>
          <w:sz w:val="22"/>
          <w:szCs w:val="22"/>
        </w:rPr>
        <w:t>1</w:t>
      </w:r>
      <w:r w:rsidR="00093621">
        <w:rPr>
          <w:rFonts w:cs="Times New Roman"/>
          <w:b/>
          <w:bCs/>
          <w:sz w:val="22"/>
          <w:szCs w:val="22"/>
        </w:rPr>
        <w:t>5</w:t>
      </w:r>
    </w:p>
    <w:p w:rsidR="00E0568D" w:rsidRPr="00A33734" w:rsidRDefault="00E0568D" w:rsidP="007857DA">
      <w:pPr>
        <w:spacing w:before="120" w:after="120"/>
        <w:jc w:val="center"/>
        <w:rPr>
          <w:rFonts w:cs="Times New Roman"/>
          <w:bCs/>
          <w:sz w:val="22"/>
          <w:szCs w:val="22"/>
        </w:rPr>
      </w:pPr>
      <w:r w:rsidRPr="00A33734">
        <w:rPr>
          <w:rFonts w:cs="Times New Roman"/>
          <w:bCs/>
          <w:sz w:val="22"/>
          <w:szCs w:val="22"/>
        </w:rPr>
        <w:t>(Processo Administrativo n.°</w:t>
      </w:r>
      <w:r w:rsidR="0053474B" w:rsidRPr="00A33734">
        <w:rPr>
          <w:rFonts w:cs="Times New Roman"/>
          <w:bCs/>
          <w:sz w:val="22"/>
          <w:szCs w:val="22"/>
        </w:rPr>
        <w:t>0810</w:t>
      </w:r>
      <w:r w:rsidR="00B17729">
        <w:rPr>
          <w:rFonts w:cs="Times New Roman"/>
          <w:bCs/>
          <w:sz w:val="22"/>
          <w:szCs w:val="22"/>
        </w:rPr>
        <w:t>3</w:t>
      </w:r>
      <w:r w:rsidR="0053474B" w:rsidRPr="00A33734">
        <w:rPr>
          <w:rFonts w:cs="Times New Roman"/>
          <w:bCs/>
          <w:sz w:val="22"/>
          <w:szCs w:val="22"/>
        </w:rPr>
        <w:t>.000171/2014-04)</w:t>
      </w:r>
    </w:p>
    <w:p w:rsidR="0053474B" w:rsidRPr="00A33734" w:rsidRDefault="0053474B" w:rsidP="007857DA">
      <w:pPr>
        <w:spacing w:before="120" w:after="120"/>
        <w:jc w:val="center"/>
        <w:rPr>
          <w:rFonts w:cs="Times New Roman"/>
          <w:bCs/>
          <w:sz w:val="22"/>
          <w:szCs w:val="22"/>
        </w:rPr>
      </w:pPr>
    </w:p>
    <w:p w:rsidR="0053474B" w:rsidRPr="00A33734" w:rsidRDefault="0053474B" w:rsidP="007857DA">
      <w:pPr>
        <w:spacing w:before="120" w:after="120"/>
        <w:jc w:val="center"/>
        <w:rPr>
          <w:rFonts w:ascii="Arial Narrow" w:hAnsi="Arial Narrow" w:cs="Arial"/>
          <w:b/>
          <w:bCs/>
          <w:sz w:val="22"/>
          <w:szCs w:val="22"/>
          <w:u w:val="single"/>
        </w:rPr>
      </w:pPr>
      <w:r w:rsidRPr="00A33734">
        <w:rPr>
          <w:rFonts w:ascii="Arial Narrow" w:hAnsi="Arial Narrow" w:cs="Arial"/>
          <w:b/>
          <w:bCs/>
          <w:sz w:val="22"/>
          <w:szCs w:val="22"/>
          <w:u w:val="single"/>
        </w:rPr>
        <w:t>EXCLUSIVO PARA MICROEMPRESAS, EMPRESAS DE PEQUENO PORTE E COOPERATIVAS ENQUADRADAS NO ARTIGO 34 DA LEI N° 11.488, DE 2007</w:t>
      </w:r>
    </w:p>
    <w:p w:rsidR="00E0568D" w:rsidRPr="00A33734" w:rsidRDefault="00E0568D" w:rsidP="007857DA">
      <w:pPr>
        <w:snapToGrid w:val="0"/>
        <w:spacing w:before="120" w:after="120" w:line="276" w:lineRule="auto"/>
        <w:jc w:val="both"/>
        <w:rPr>
          <w:rFonts w:cs="Times New Roman"/>
          <w:sz w:val="22"/>
          <w:szCs w:val="22"/>
        </w:rPr>
      </w:pPr>
    </w:p>
    <w:p w:rsidR="000F104D" w:rsidRPr="00A33734" w:rsidRDefault="000F104D" w:rsidP="007857DA">
      <w:pPr>
        <w:snapToGrid w:val="0"/>
        <w:spacing w:before="120" w:after="120" w:line="276" w:lineRule="auto"/>
        <w:ind w:firstLine="709"/>
        <w:jc w:val="both"/>
        <w:rPr>
          <w:rFonts w:cs="Times New Roman"/>
          <w:sz w:val="22"/>
          <w:szCs w:val="22"/>
        </w:rPr>
      </w:pPr>
      <w:r w:rsidRPr="00A33734">
        <w:rPr>
          <w:rFonts w:cs="Times New Roman"/>
          <w:sz w:val="22"/>
          <w:szCs w:val="22"/>
        </w:rPr>
        <w:t>Torna-se público, para conhecimento dos interessados, que</w:t>
      </w:r>
      <w:r w:rsidR="000D25F8" w:rsidRPr="00A33734">
        <w:rPr>
          <w:rFonts w:cs="Times New Roman"/>
          <w:sz w:val="22"/>
          <w:szCs w:val="22"/>
        </w:rPr>
        <w:t xml:space="preserve"> a União, por intermédio do</w:t>
      </w:r>
      <w:r w:rsidR="0053474B" w:rsidRPr="00A33734">
        <w:rPr>
          <w:rFonts w:cs="Times New Roman"/>
          <w:sz w:val="22"/>
          <w:szCs w:val="22"/>
        </w:rPr>
        <w:t xml:space="preserve"> DEPARTAMENTO DE POLÍCIA FEDERAL</w:t>
      </w:r>
      <w:r w:rsidR="000D25F8" w:rsidRPr="00A33734">
        <w:rPr>
          <w:rFonts w:cs="Times New Roman"/>
          <w:sz w:val="22"/>
          <w:szCs w:val="22"/>
        </w:rPr>
        <w:t xml:space="preserve"> e por seu Ordenador de Despesas, com a competência que lhe confere a Portaria nº </w:t>
      </w:r>
      <w:r w:rsidR="00B17729">
        <w:rPr>
          <w:rFonts w:cs="Times New Roman"/>
          <w:sz w:val="22"/>
          <w:szCs w:val="22"/>
        </w:rPr>
        <w:t>4996/2014</w:t>
      </w:r>
      <w:r w:rsidR="000D25F8" w:rsidRPr="00A33734">
        <w:rPr>
          <w:rFonts w:cs="Times New Roman"/>
          <w:sz w:val="22"/>
          <w:szCs w:val="22"/>
        </w:rPr>
        <w:t xml:space="preserve">-DG/DPF, de </w:t>
      </w:r>
      <w:r w:rsidR="00B17729">
        <w:rPr>
          <w:rFonts w:cs="Times New Roman"/>
          <w:sz w:val="22"/>
          <w:szCs w:val="22"/>
        </w:rPr>
        <w:t>08 de dezembro de 2014</w:t>
      </w:r>
      <w:r w:rsidRPr="00A33734">
        <w:rPr>
          <w:rFonts w:cs="Times New Roman"/>
          <w:sz w:val="22"/>
          <w:szCs w:val="22"/>
        </w:rPr>
        <w:t xml:space="preserve">, realizará licitação, na modalidade </w:t>
      </w:r>
      <w:r w:rsidRPr="00A33734">
        <w:rPr>
          <w:rFonts w:cs="Times New Roman"/>
          <w:b/>
          <w:sz w:val="22"/>
          <w:szCs w:val="22"/>
        </w:rPr>
        <w:t>PREGÃO</w:t>
      </w:r>
      <w:r w:rsidRPr="00A33734">
        <w:rPr>
          <w:rFonts w:cs="Times New Roman"/>
          <w:sz w:val="22"/>
          <w:szCs w:val="22"/>
        </w:rPr>
        <w:t xml:space="preserve">, na forma </w:t>
      </w:r>
      <w:r w:rsidRPr="00A33734">
        <w:rPr>
          <w:rFonts w:cs="Times New Roman"/>
          <w:b/>
          <w:sz w:val="22"/>
          <w:szCs w:val="22"/>
        </w:rPr>
        <w:t>ELETRÔNICA</w:t>
      </w:r>
      <w:r w:rsidRPr="00A33734">
        <w:rPr>
          <w:rFonts w:cs="Times New Roman"/>
          <w:sz w:val="22"/>
          <w:szCs w:val="22"/>
        </w:rPr>
        <w:t xml:space="preserve">, do tipo </w:t>
      </w:r>
      <w:r w:rsidRPr="00A33734">
        <w:rPr>
          <w:rFonts w:cs="Times New Roman"/>
          <w:b/>
          <w:sz w:val="22"/>
          <w:szCs w:val="22"/>
        </w:rPr>
        <w:t>menor preço</w:t>
      </w:r>
      <w:r w:rsidR="0053474B" w:rsidRPr="00A33734">
        <w:rPr>
          <w:rFonts w:cs="Times New Roman"/>
          <w:b/>
          <w:sz w:val="22"/>
          <w:szCs w:val="22"/>
        </w:rPr>
        <w:t xml:space="preserve"> por ITEM</w:t>
      </w:r>
      <w:r w:rsidRPr="00A33734">
        <w:rPr>
          <w:rFonts w:cs="Times New Roman"/>
          <w:sz w:val="22"/>
          <w:szCs w:val="22"/>
        </w:rPr>
        <w:t>,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r w:rsidR="0053474B" w:rsidRPr="00A33734">
        <w:rPr>
          <w:rFonts w:cs="Times New Roman"/>
          <w:sz w:val="22"/>
          <w:szCs w:val="22"/>
        </w:rPr>
        <w:t xml:space="preserve"> e seus anexos</w:t>
      </w:r>
      <w:r w:rsidR="00FA5019" w:rsidRPr="00A33734">
        <w:rPr>
          <w:rFonts w:cs="Times New Roman"/>
          <w:sz w:val="22"/>
          <w:szCs w:val="22"/>
        </w:rPr>
        <w:t>.</w:t>
      </w:r>
    </w:p>
    <w:p w:rsidR="00FA5019" w:rsidRPr="00A33734" w:rsidRDefault="00FA5019" w:rsidP="007857DA">
      <w:pPr>
        <w:snapToGrid w:val="0"/>
        <w:spacing w:before="120" w:after="120" w:line="276" w:lineRule="auto"/>
        <w:ind w:firstLine="709"/>
        <w:jc w:val="both"/>
        <w:rPr>
          <w:rFonts w:cs="Times New Roman"/>
          <w:sz w:val="22"/>
          <w:szCs w:val="22"/>
        </w:rPr>
      </w:pPr>
    </w:p>
    <w:p w:rsidR="00891F59" w:rsidRPr="00A33734" w:rsidRDefault="00891F59" w:rsidP="007857DA">
      <w:pPr>
        <w:spacing w:before="120" w:after="120"/>
        <w:jc w:val="both"/>
        <w:rPr>
          <w:rFonts w:ascii="Times New Roman" w:hAnsi="Times New Roman" w:cs="Times New Roman"/>
          <w:sz w:val="22"/>
          <w:szCs w:val="22"/>
        </w:rPr>
      </w:pPr>
      <w:r w:rsidRPr="00A33734">
        <w:rPr>
          <w:rFonts w:cs="Segoe UI"/>
          <w:sz w:val="22"/>
          <w:szCs w:val="22"/>
        </w:rPr>
        <w:t>Data da</w:t>
      </w:r>
      <w:r w:rsidR="000D25F8" w:rsidRPr="00A33734">
        <w:rPr>
          <w:rFonts w:cs="Segoe UI"/>
          <w:sz w:val="22"/>
          <w:szCs w:val="22"/>
        </w:rPr>
        <w:t xml:space="preserve"> abertura da</w:t>
      </w:r>
      <w:r w:rsidR="00DE51FA" w:rsidRPr="00A33734">
        <w:rPr>
          <w:rFonts w:cs="Segoe UI"/>
          <w:sz w:val="22"/>
          <w:szCs w:val="22"/>
        </w:rPr>
        <w:t xml:space="preserve"> </w:t>
      </w:r>
      <w:r w:rsidRPr="00A33734">
        <w:rPr>
          <w:rFonts w:cs="Segoe UI"/>
          <w:sz w:val="22"/>
          <w:szCs w:val="22"/>
        </w:rPr>
        <w:t>sessão</w:t>
      </w:r>
      <w:r w:rsidR="000D25F8" w:rsidRPr="00A33734">
        <w:rPr>
          <w:rFonts w:cs="Segoe UI"/>
          <w:sz w:val="22"/>
          <w:szCs w:val="22"/>
        </w:rPr>
        <w:t xml:space="preserve"> pública</w:t>
      </w:r>
      <w:r w:rsidRPr="00A33734">
        <w:rPr>
          <w:rFonts w:ascii="Segoe UI" w:hAnsi="Segoe UI" w:cs="Segoe UI"/>
          <w:sz w:val="22"/>
          <w:szCs w:val="22"/>
        </w:rPr>
        <w:t>:</w:t>
      </w:r>
      <w:r w:rsidR="00D86392" w:rsidRPr="00A33734">
        <w:rPr>
          <w:rFonts w:ascii="Segoe UI" w:hAnsi="Segoe UI" w:cs="Segoe UI"/>
          <w:sz w:val="22"/>
          <w:szCs w:val="22"/>
        </w:rPr>
        <w:t xml:space="preserve"> </w:t>
      </w:r>
      <w:r w:rsidR="009824D1">
        <w:rPr>
          <w:rFonts w:ascii="Segoe UI" w:hAnsi="Segoe UI" w:cs="Segoe UI"/>
          <w:sz w:val="22"/>
          <w:szCs w:val="22"/>
        </w:rPr>
        <w:t>1</w:t>
      </w:r>
      <w:r w:rsidR="00E45F09">
        <w:rPr>
          <w:rFonts w:ascii="Segoe UI" w:hAnsi="Segoe UI" w:cs="Segoe UI"/>
          <w:sz w:val="22"/>
          <w:szCs w:val="22"/>
        </w:rPr>
        <w:t>2</w:t>
      </w:r>
      <w:r w:rsidR="009824D1">
        <w:rPr>
          <w:rFonts w:ascii="Segoe UI" w:hAnsi="Segoe UI" w:cs="Segoe UI"/>
          <w:sz w:val="22"/>
          <w:szCs w:val="22"/>
        </w:rPr>
        <w:t>/03/2015</w:t>
      </w:r>
    </w:p>
    <w:p w:rsidR="00891F59" w:rsidRPr="00A33734" w:rsidRDefault="00891F59" w:rsidP="007857DA">
      <w:pPr>
        <w:spacing w:before="120" w:after="120"/>
        <w:jc w:val="both"/>
        <w:rPr>
          <w:rFonts w:cs="Times New Roman"/>
          <w:sz w:val="22"/>
          <w:szCs w:val="22"/>
        </w:rPr>
      </w:pPr>
      <w:r w:rsidRPr="00A33734">
        <w:rPr>
          <w:rFonts w:cs="Segoe UI"/>
          <w:sz w:val="22"/>
          <w:szCs w:val="22"/>
        </w:rPr>
        <w:t xml:space="preserve">Horário: </w:t>
      </w:r>
      <w:r w:rsidR="009824D1">
        <w:rPr>
          <w:rFonts w:cs="Segoe UI"/>
          <w:sz w:val="22"/>
          <w:szCs w:val="22"/>
        </w:rPr>
        <w:t>14 horas – horário de Brasília</w:t>
      </w:r>
    </w:p>
    <w:p w:rsidR="00891F59" w:rsidRPr="00A33734" w:rsidRDefault="00891F59" w:rsidP="007857DA">
      <w:pPr>
        <w:spacing w:before="120" w:after="120" w:line="276" w:lineRule="auto"/>
        <w:jc w:val="both"/>
        <w:rPr>
          <w:rFonts w:cs="Segoe UI"/>
          <w:sz w:val="22"/>
          <w:szCs w:val="22"/>
        </w:rPr>
      </w:pPr>
      <w:r w:rsidRPr="00A33734">
        <w:rPr>
          <w:rFonts w:cs="Segoe UI"/>
          <w:sz w:val="22"/>
          <w:szCs w:val="22"/>
        </w:rPr>
        <w:t>Local:</w:t>
      </w:r>
      <w:r w:rsidR="00D86392" w:rsidRPr="00A33734">
        <w:rPr>
          <w:rFonts w:cs="Segoe UI"/>
          <w:sz w:val="22"/>
          <w:szCs w:val="22"/>
        </w:rPr>
        <w:t xml:space="preserve"> </w:t>
      </w:r>
      <w:r w:rsidR="00BB7172" w:rsidRPr="00A33734">
        <w:rPr>
          <w:rFonts w:cs="Segoe UI"/>
          <w:sz w:val="22"/>
          <w:szCs w:val="22"/>
        </w:rPr>
        <w:t>sítio</w:t>
      </w:r>
      <w:r w:rsidR="00D86392" w:rsidRPr="00A33734">
        <w:rPr>
          <w:rFonts w:cs="Segoe UI"/>
          <w:sz w:val="22"/>
          <w:szCs w:val="22"/>
        </w:rPr>
        <w:t xml:space="preserve"> “www.comprasnet.gov.br”</w:t>
      </w:r>
    </w:p>
    <w:p w:rsidR="00321B33" w:rsidRPr="00A33734" w:rsidRDefault="00321B33" w:rsidP="007857DA">
      <w:pPr>
        <w:spacing w:before="120" w:after="120" w:line="276" w:lineRule="auto"/>
        <w:jc w:val="both"/>
        <w:rPr>
          <w:rFonts w:cs="Times New Roman"/>
          <w:b/>
          <w:sz w:val="22"/>
          <w:szCs w:val="22"/>
        </w:rPr>
      </w:pPr>
    </w:p>
    <w:p w:rsidR="000F104D" w:rsidRPr="00A33734" w:rsidRDefault="000F104D" w:rsidP="007857DA">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DO OBJETO</w:t>
      </w:r>
    </w:p>
    <w:p w:rsidR="0053474B" w:rsidRPr="00A33734" w:rsidRDefault="000F104D" w:rsidP="007857DA">
      <w:pPr>
        <w:pStyle w:val="PargrafodaLista"/>
        <w:spacing w:before="120" w:after="120"/>
        <w:ind w:left="0"/>
        <w:contextualSpacing w:val="0"/>
        <w:jc w:val="both"/>
        <w:rPr>
          <w:rFonts w:cs="Times New Roman"/>
          <w:sz w:val="22"/>
          <w:szCs w:val="22"/>
        </w:rPr>
      </w:pPr>
      <w:r w:rsidRPr="00A33734">
        <w:rPr>
          <w:rFonts w:cs="Times New Roman"/>
          <w:sz w:val="22"/>
          <w:szCs w:val="22"/>
        </w:rPr>
        <w:t>O objeto da presente licitação é a escolha da proposta mais vantajosa para a contratação de serviços de</w:t>
      </w:r>
      <w:r w:rsidR="0053474B" w:rsidRPr="00A33734">
        <w:rPr>
          <w:rFonts w:cs="Times New Roman"/>
          <w:sz w:val="22"/>
          <w:szCs w:val="22"/>
        </w:rPr>
        <w:t xml:space="preserve"> Empresa especializada no fornecimento de documentos de navegação aérea com coberturas específicas para a América do Sul e Brasil, em formato impresso, todos com atualização periódica, confeccionados pela JEPPESEN SANDERSON, INC, com sede nos Estados Unidos da América, conforme as especificações constantes neste Edital, seus anexos e discriminações a seguir:</w:t>
      </w:r>
    </w:p>
    <w:p w:rsidR="0053474B" w:rsidRPr="00A33734" w:rsidRDefault="0053474B" w:rsidP="007857DA">
      <w:pPr>
        <w:pStyle w:val="PargrafodaLista"/>
        <w:spacing w:before="120" w:after="120" w:line="360" w:lineRule="auto"/>
        <w:ind w:left="0"/>
        <w:contextualSpacing w:val="0"/>
        <w:jc w:val="both"/>
        <w:rPr>
          <w:rFonts w:cs="Times New Roman"/>
          <w:sz w:val="22"/>
          <w:szCs w:val="22"/>
        </w:rPr>
      </w:pPr>
    </w:p>
    <w:p w:rsidR="0053474B" w:rsidRPr="00A33734" w:rsidRDefault="0053474B" w:rsidP="007857DA">
      <w:pPr>
        <w:spacing w:before="120" w:after="120"/>
        <w:jc w:val="both"/>
        <w:rPr>
          <w:rFonts w:ascii="Arial Narrow" w:hAnsi="Arial Narrow"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4086"/>
        <w:gridCol w:w="3579"/>
      </w:tblGrid>
      <w:tr w:rsidR="0053474B" w:rsidRPr="00A33734" w:rsidTr="009824D1">
        <w:tc>
          <w:tcPr>
            <w:tcW w:w="1413"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9824D1">
            <w:pPr>
              <w:spacing w:before="120" w:after="120"/>
              <w:jc w:val="center"/>
              <w:rPr>
                <w:rFonts w:ascii="Arial Narrow" w:hAnsi="Arial Narrow" w:cs="Arial"/>
                <w:b/>
                <w:sz w:val="22"/>
                <w:szCs w:val="22"/>
              </w:rPr>
            </w:pPr>
            <w:r w:rsidRPr="00A33734">
              <w:rPr>
                <w:rFonts w:ascii="Arial Narrow" w:hAnsi="Arial Narrow" w:cs="Arial"/>
                <w:b/>
                <w:sz w:val="22"/>
                <w:szCs w:val="22"/>
              </w:rPr>
              <w:lastRenderedPageBreak/>
              <w:t>Item</w:t>
            </w:r>
          </w:p>
        </w:tc>
        <w:tc>
          <w:tcPr>
            <w:tcW w:w="4145"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9824D1">
            <w:pPr>
              <w:spacing w:before="120" w:after="120"/>
              <w:jc w:val="center"/>
              <w:rPr>
                <w:rFonts w:ascii="Arial Narrow" w:hAnsi="Arial Narrow" w:cs="Arial"/>
                <w:b/>
                <w:sz w:val="22"/>
                <w:szCs w:val="22"/>
              </w:rPr>
            </w:pPr>
            <w:r w:rsidRPr="00A33734">
              <w:rPr>
                <w:rFonts w:ascii="Arial Narrow" w:hAnsi="Arial Narrow" w:cs="Arial"/>
                <w:b/>
                <w:sz w:val="22"/>
                <w:szCs w:val="22"/>
              </w:rPr>
              <w:t>Descrição</w:t>
            </w:r>
          </w:p>
        </w:tc>
        <w:tc>
          <w:tcPr>
            <w:tcW w:w="3622"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9824D1">
            <w:pPr>
              <w:spacing w:before="120" w:after="120"/>
              <w:jc w:val="center"/>
              <w:rPr>
                <w:rFonts w:ascii="Arial Narrow" w:hAnsi="Arial Narrow" w:cs="Arial"/>
                <w:b/>
                <w:sz w:val="22"/>
                <w:szCs w:val="22"/>
              </w:rPr>
            </w:pPr>
            <w:r w:rsidRPr="00A33734">
              <w:rPr>
                <w:rFonts w:ascii="Arial Narrow" w:hAnsi="Arial Narrow" w:cs="Arial"/>
                <w:b/>
                <w:sz w:val="22"/>
                <w:szCs w:val="22"/>
              </w:rPr>
              <w:t>Quantidade/Ano</w:t>
            </w:r>
          </w:p>
        </w:tc>
      </w:tr>
      <w:tr w:rsidR="0053474B" w:rsidRPr="00A33734" w:rsidTr="00893A73">
        <w:tc>
          <w:tcPr>
            <w:tcW w:w="1413"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893A73">
            <w:pPr>
              <w:spacing w:before="120" w:after="120"/>
              <w:jc w:val="center"/>
              <w:rPr>
                <w:rFonts w:ascii="Arial Narrow" w:hAnsi="Arial Narrow" w:cs="Arial"/>
                <w:sz w:val="22"/>
                <w:szCs w:val="22"/>
              </w:rPr>
            </w:pPr>
            <w:r w:rsidRPr="00A33734">
              <w:rPr>
                <w:rFonts w:ascii="Arial Narrow" w:hAnsi="Arial Narrow" w:cs="Arial"/>
                <w:sz w:val="22"/>
                <w:szCs w:val="22"/>
              </w:rPr>
              <w:t>01</w:t>
            </w:r>
          </w:p>
        </w:tc>
        <w:tc>
          <w:tcPr>
            <w:tcW w:w="4145"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893A73">
            <w:pPr>
              <w:spacing w:before="120" w:after="120"/>
              <w:jc w:val="center"/>
              <w:rPr>
                <w:rFonts w:ascii="Arial Narrow" w:hAnsi="Arial Narrow" w:cs="Arial"/>
                <w:sz w:val="22"/>
                <w:szCs w:val="22"/>
                <w:vertAlign w:val="superscript"/>
              </w:rPr>
            </w:pPr>
            <w:r w:rsidRPr="00A33734">
              <w:rPr>
                <w:rFonts w:ascii="Arial Narrow" w:hAnsi="Arial Narrow"/>
                <w:sz w:val="22"/>
                <w:szCs w:val="22"/>
              </w:rPr>
              <w:t xml:space="preserve">Assinatura anual </w:t>
            </w:r>
            <w:r w:rsidR="00893A73">
              <w:rPr>
                <w:rFonts w:ascii="Arial Narrow" w:hAnsi="Arial Narrow"/>
                <w:sz w:val="22"/>
                <w:szCs w:val="22"/>
              </w:rPr>
              <w:t>eletrônica de cartas de procedimentos IFR com cobertura para o território brasileiro conforme referência JEPPESEN ABRZ 0441</w:t>
            </w:r>
          </w:p>
        </w:tc>
        <w:tc>
          <w:tcPr>
            <w:tcW w:w="3622"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893A73" w:rsidP="00893A73">
            <w:pPr>
              <w:spacing w:before="120" w:after="120"/>
              <w:jc w:val="center"/>
              <w:rPr>
                <w:rFonts w:ascii="Arial Narrow" w:hAnsi="Arial Narrow" w:cs="Arial"/>
                <w:sz w:val="22"/>
                <w:szCs w:val="22"/>
              </w:rPr>
            </w:pPr>
            <w:r>
              <w:rPr>
                <w:rFonts w:ascii="Arial Narrow" w:hAnsi="Arial Narrow" w:cs="Arial"/>
                <w:sz w:val="22"/>
                <w:szCs w:val="22"/>
              </w:rPr>
              <w:t>02</w:t>
            </w:r>
          </w:p>
        </w:tc>
      </w:tr>
      <w:tr w:rsidR="0053474B" w:rsidRPr="00A33734" w:rsidTr="00893A73">
        <w:tc>
          <w:tcPr>
            <w:tcW w:w="1413"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53474B" w:rsidP="00893A73">
            <w:pPr>
              <w:spacing w:before="120" w:after="120"/>
              <w:jc w:val="center"/>
              <w:rPr>
                <w:rFonts w:ascii="Arial Narrow" w:hAnsi="Arial Narrow" w:cs="Arial"/>
                <w:sz w:val="22"/>
                <w:szCs w:val="22"/>
              </w:rPr>
            </w:pPr>
            <w:r w:rsidRPr="00A33734">
              <w:rPr>
                <w:rFonts w:ascii="Arial Narrow" w:hAnsi="Arial Narrow" w:cs="Arial"/>
                <w:sz w:val="22"/>
                <w:szCs w:val="22"/>
              </w:rPr>
              <w:t>02</w:t>
            </w:r>
          </w:p>
        </w:tc>
        <w:tc>
          <w:tcPr>
            <w:tcW w:w="4145"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893A73" w:rsidP="00893A73">
            <w:pPr>
              <w:spacing w:before="120" w:after="120"/>
              <w:jc w:val="center"/>
              <w:rPr>
                <w:rFonts w:ascii="Arial Narrow" w:hAnsi="Arial Narrow" w:cs="Arial"/>
                <w:sz w:val="22"/>
                <w:szCs w:val="22"/>
              </w:rPr>
            </w:pPr>
            <w:r>
              <w:rPr>
                <w:rFonts w:ascii="Arial Narrow" w:hAnsi="Arial Narrow"/>
                <w:sz w:val="22"/>
                <w:szCs w:val="22"/>
              </w:rPr>
              <w:t>Assinatura anual eletrônica de cartas de procedimentos IFR com cobertura para a América do Sul conforme referência JEPPESEN ASM 0441</w:t>
            </w:r>
          </w:p>
        </w:tc>
        <w:tc>
          <w:tcPr>
            <w:tcW w:w="3622" w:type="dxa"/>
            <w:tcBorders>
              <w:top w:val="single" w:sz="4" w:space="0" w:color="auto"/>
              <w:left w:val="single" w:sz="4" w:space="0" w:color="auto"/>
              <w:bottom w:val="single" w:sz="4" w:space="0" w:color="auto"/>
              <w:right w:val="single" w:sz="4" w:space="0" w:color="auto"/>
            </w:tcBorders>
            <w:vAlign w:val="center"/>
            <w:hideMark/>
          </w:tcPr>
          <w:p w:rsidR="0053474B" w:rsidRPr="00A33734" w:rsidRDefault="00893A73" w:rsidP="00893A73">
            <w:pPr>
              <w:spacing w:before="120" w:after="120"/>
              <w:jc w:val="center"/>
              <w:rPr>
                <w:rFonts w:ascii="Arial Narrow" w:hAnsi="Arial Narrow" w:cs="Arial"/>
                <w:sz w:val="22"/>
                <w:szCs w:val="22"/>
              </w:rPr>
            </w:pPr>
            <w:r>
              <w:rPr>
                <w:rFonts w:ascii="Arial Narrow" w:hAnsi="Arial Narrow" w:cs="Arial"/>
                <w:sz w:val="22"/>
                <w:szCs w:val="22"/>
              </w:rPr>
              <w:t>01</w:t>
            </w:r>
          </w:p>
        </w:tc>
      </w:tr>
    </w:tbl>
    <w:p w:rsidR="0015338D" w:rsidRPr="00A33734" w:rsidRDefault="0015338D" w:rsidP="007857DA">
      <w:pPr>
        <w:numPr>
          <w:ilvl w:val="1"/>
          <w:numId w:val="1"/>
        </w:numPr>
        <w:spacing w:before="120" w:after="120" w:line="276" w:lineRule="auto"/>
        <w:ind w:left="0" w:firstLine="0"/>
        <w:jc w:val="both"/>
        <w:rPr>
          <w:rFonts w:cs="Times New Roman"/>
          <w:b/>
          <w:sz w:val="22"/>
          <w:szCs w:val="22"/>
        </w:rPr>
      </w:pPr>
      <w:r w:rsidRPr="00A33734">
        <w:rPr>
          <w:rFonts w:cs="Times New Roman"/>
          <w:sz w:val="22"/>
          <w:szCs w:val="22"/>
        </w:rPr>
        <w:t>A licitante deverá fornecer todas as atualizações e revisões disponibilizadas pela empresa Jeppesen Sanderson, INC durante o período de duração do contrato.</w:t>
      </w:r>
    </w:p>
    <w:p w:rsidR="000F104D" w:rsidRPr="00A33734" w:rsidRDefault="000F104D" w:rsidP="007857DA">
      <w:pPr>
        <w:numPr>
          <w:ilvl w:val="1"/>
          <w:numId w:val="1"/>
        </w:numPr>
        <w:autoSpaceDE w:val="0"/>
        <w:spacing w:before="120" w:after="120" w:line="276" w:lineRule="auto"/>
        <w:ind w:left="0" w:firstLine="0"/>
        <w:jc w:val="both"/>
        <w:rPr>
          <w:rFonts w:cs="Times New Roman"/>
          <w:sz w:val="22"/>
          <w:szCs w:val="22"/>
        </w:rPr>
      </w:pPr>
      <w:r w:rsidRPr="00A33734">
        <w:rPr>
          <w:rFonts w:cs="Times New Roman"/>
          <w:sz w:val="22"/>
          <w:szCs w:val="22"/>
        </w:rPr>
        <w:t>A licitação será dividida em itens</w:t>
      </w:r>
      <w:r w:rsidRPr="00A33734">
        <w:rPr>
          <w:rFonts w:cs="Times New Roman"/>
          <w:b/>
          <w:sz w:val="22"/>
          <w:szCs w:val="22"/>
        </w:rPr>
        <w:t>,</w:t>
      </w:r>
      <w:r w:rsidRPr="00A33734">
        <w:rPr>
          <w:rFonts w:cs="Times New Roman"/>
          <w:sz w:val="22"/>
          <w:szCs w:val="22"/>
        </w:rPr>
        <w:t xml:space="preserve"> conforme tabela constante do Termo de Referência, facultando-se ao licitante a participação em quantos itens forem de seu interesse.</w:t>
      </w:r>
    </w:p>
    <w:p w:rsidR="000F104D" w:rsidRPr="00A33734" w:rsidRDefault="000F104D" w:rsidP="007857DA">
      <w:pPr>
        <w:numPr>
          <w:ilvl w:val="0"/>
          <w:numId w:val="1"/>
        </w:numPr>
        <w:autoSpaceDE w:val="0"/>
        <w:spacing w:before="120" w:after="120" w:line="276" w:lineRule="auto"/>
        <w:ind w:left="0" w:firstLine="0"/>
        <w:jc w:val="both"/>
        <w:rPr>
          <w:rFonts w:cs="Times New Roman"/>
          <w:b/>
          <w:sz w:val="22"/>
          <w:szCs w:val="22"/>
        </w:rPr>
      </w:pPr>
      <w:r w:rsidRPr="00A33734">
        <w:rPr>
          <w:rFonts w:cs="Times New Roman"/>
          <w:b/>
          <w:sz w:val="22"/>
          <w:szCs w:val="22"/>
        </w:rPr>
        <w:t>DOS RECURSOS ORÇAMENTÁRIOS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As despesas para atender a esta licitação estão programadas em dotação orçamentária própria, prevista no orçamento da União para o exercício de 20</w:t>
      </w:r>
      <w:r w:rsidR="007857DA" w:rsidRPr="00A33734">
        <w:rPr>
          <w:rFonts w:cs="Times New Roman"/>
          <w:sz w:val="22"/>
          <w:szCs w:val="22"/>
        </w:rPr>
        <w:t>14</w:t>
      </w:r>
      <w:r w:rsidRPr="00A33734">
        <w:rPr>
          <w:rFonts w:cs="Times New Roman"/>
          <w:sz w:val="22"/>
          <w:szCs w:val="22"/>
        </w:rPr>
        <w:t>, na classificação abaixo:</w:t>
      </w:r>
    </w:p>
    <w:p w:rsidR="000F104D" w:rsidRPr="00A33734" w:rsidRDefault="000D25F8" w:rsidP="007857DA">
      <w:pPr>
        <w:spacing w:before="120" w:after="120" w:line="276" w:lineRule="auto"/>
        <w:jc w:val="both"/>
        <w:rPr>
          <w:rFonts w:cs="Times New Roman"/>
          <w:sz w:val="22"/>
          <w:szCs w:val="22"/>
          <w:lang w:eastAsia="en-US"/>
        </w:rPr>
      </w:pPr>
      <w:r w:rsidRPr="00A33734">
        <w:rPr>
          <w:rFonts w:cs="Times New Roman"/>
          <w:sz w:val="22"/>
          <w:szCs w:val="22"/>
          <w:lang w:eastAsia="en-US"/>
        </w:rPr>
        <w:t>Gestão/Unidade:</w:t>
      </w:r>
      <w:r w:rsidR="00FD7E53">
        <w:rPr>
          <w:rFonts w:cs="Times New Roman"/>
          <w:sz w:val="22"/>
          <w:szCs w:val="22"/>
          <w:lang w:eastAsia="en-US"/>
        </w:rPr>
        <w:t xml:space="preserve"> 1</w:t>
      </w:r>
    </w:p>
    <w:p w:rsidR="000F104D" w:rsidRPr="00A33734" w:rsidRDefault="000F104D" w:rsidP="007857DA">
      <w:pPr>
        <w:spacing w:before="120" w:after="120" w:line="276" w:lineRule="auto"/>
        <w:jc w:val="both"/>
        <w:rPr>
          <w:rFonts w:cs="Times New Roman"/>
          <w:sz w:val="22"/>
          <w:szCs w:val="22"/>
          <w:lang w:eastAsia="en-US"/>
        </w:rPr>
      </w:pPr>
      <w:r w:rsidRPr="00A33734">
        <w:rPr>
          <w:rFonts w:cs="Times New Roman"/>
          <w:sz w:val="22"/>
          <w:szCs w:val="22"/>
          <w:lang w:eastAsia="en-US"/>
        </w:rPr>
        <w:t xml:space="preserve">Fonte: </w:t>
      </w:r>
      <w:r w:rsidR="00FD7E53">
        <w:rPr>
          <w:rFonts w:cs="Times New Roman"/>
          <w:sz w:val="22"/>
          <w:szCs w:val="22"/>
          <w:lang w:eastAsia="en-US"/>
        </w:rPr>
        <w:t>0100000000</w:t>
      </w:r>
    </w:p>
    <w:p w:rsidR="000F104D" w:rsidRPr="00A33734" w:rsidRDefault="000F104D" w:rsidP="007857DA">
      <w:pPr>
        <w:spacing w:before="120" w:after="120" w:line="276" w:lineRule="auto"/>
        <w:jc w:val="both"/>
        <w:rPr>
          <w:rFonts w:cs="Times New Roman"/>
          <w:sz w:val="22"/>
          <w:szCs w:val="22"/>
          <w:lang w:eastAsia="en-US"/>
        </w:rPr>
      </w:pPr>
      <w:r w:rsidRPr="00A33734">
        <w:rPr>
          <w:rFonts w:cs="Times New Roman"/>
          <w:sz w:val="22"/>
          <w:szCs w:val="22"/>
          <w:lang w:eastAsia="en-US"/>
        </w:rPr>
        <w:t xml:space="preserve">Programa de Trabalho: </w:t>
      </w:r>
      <w:r w:rsidR="00E45F09">
        <w:rPr>
          <w:rFonts w:cs="Times New Roman"/>
          <w:sz w:val="22"/>
          <w:szCs w:val="22"/>
          <w:lang w:eastAsia="en-US"/>
        </w:rPr>
        <w:t>090123</w:t>
      </w:r>
      <w:r w:rsidRPr="00A33734">
        <w:rPr>
          <w:rFonts w:cs="Times New Roman"/>
          <w:sz w:val="22"/>
          <w:szCs w:val="22"/>
          <w:lang w:eastAsia="en-US"/>
        </w:rPr>
        <w:t xml:space="preserve"> </w:t>
      </w:r>
    </w:p>
    <w:p w:rsidR="000F104D" w:rsidRPr="00A33734" w:rsidRDefault="000F104D" w:rsidP="007857DA">
      <w:pPr>
        <w:spacing w:before="120" w:after="120" w:line="276" w:lineRule="auto"/>
        <w:jc w:val="both"/>
        <w:rPr>
          <w:rFonts w:cs="Times New Roman"/>
          <w:sz w:val="22"/>
          <w:szCs w:val="22"/>
          <w:lang w:eastAsia="en-US"/>
        </w:rPr>
      </w:pPr>
      <w:r w:rsidRPr="00A33734">
        <w:rPr>
          <w:rFonts w:cs="Times New Roman"/>
          <w:sz w:val="22"/>
          <w:szCs w:val="22"/>
          <w:lang w:eastAsia="en-US"/>
        </w:rPr>
        <w:t xml:space="preserve">Elemento de Despesa:  </w:t>
      </w:r>
      <w:r w:rsidR="00FD7E53">
        <w:rPr>
          <w:rFonts w:cs="Times New Roman"/>
          <w:sz w:val="22"/>
          <w:szCs w:val="22"/>
          <w:lang w:eastAsia="en-US"/>
        </w:rPr>
        <w:t>33.90.39</w:t>
      </w:r>
      <w:bookmarkStart w:id="0" w:name="_GoBack"/>
      <w:bookmarkEnd w:id="0"/>
    </w:p>
    <w:p w:rsidR="000F104D" w:rsidRPr="00A33734" w:rsidRDefault="000F104D" w:rsidP="007857DA">
      <w:pPr>
        <w:tabs>
          <w:tab w:val="left" w:pos="2700"/>
        </w:tabs>
        <w:spacing w:before="120" w:after="120" w:line="276" w:lineRule="auto"/>
        <w:jc w:val="both"/>
        <w:rPr>
          <w:rFonts w:cs="Times New Roman"/>
          <w:sz w:val="22"/>
          <w:szCs w:val="22"/>
          <w:lang w:eastAsia="en-US"/>
        </w:rPr>
      </w:pPr>
      <w:r w:rsidRPr="00A33734">
        <w:rPr>
          <w:rFonts w:cs="Times New Roman"/>
          <w:sz w:val="22"/>
          <w:szCs w:val="22"/>
          <w:lang w:eastAsia="en-US"/>
        </w:rPr>
        <w:t>PI:</w:t>
      </w:r>
      <w:r w:rsidR="00FD7E53">
        <w:rPr>
          <w:rFonts w:cs="Times New Roman"/>
          <w:sz w:val="22"/>
          <w:szCs w:val="22"/>
          <w:lang w:eastAsia="en-US"/>
        </w:rPr>
        <w:t xml:space="preserve"> DESPESAS ADMINISTRATIVAS – DPF (702A)</w:t>
      </w:r>
      <w:r w:rsidR="00321B33" w:rsidRPr="00A33734">
        <w:rPr>
          <w:rFonts w:cs="Times New Roman"/>
          <w:sz w:val="22"/>
          <w:szCs w:val="22"/>
          <w:lang w:eastAsia="en-US"/>
        </w:rPr>
        <w:tab/>
      </w:r>
    </w:p>
    <w:p w:rsidR="00321B33" w:rsidRPr="00A33734" w:rsidRDefault="00321B33" w:rsidP="007857DA">
      <w:pPr>
        <w:tabs>
          <w:tab w:val="left" w:pos="2700"/>
        </w:tabs>
        <w:spacing w:before="120" w:after="120" w:line="276" w:lineRule="auto"/>
        <w:jc w:val="both"/>
        <w:rPr>
          <w:rFonts w:cs="Times New Roman"/>
          <w:sz w:val="22"/>
          <w:szCs w:val="22"/>
          <w:lang w:eastAsia="en-US"/>
        </w:rPr>
      </w:pPr>
    </w:p>
    <w:p w:rsidR="003239DD" w:rsidRPr="003239DD" w:rsidRDefault="000F104D" w:rsidP="003239DD">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DO CREDENCIAMENTO</w:t>
      </w:r>
    </w:p>
    <w:p w:rsidR="000F104D" w:rsidRPr="00A33734" w:rsidRDefault="000F104D" w:rsidP="007857DA">
      <w:pPr>
        <w:numPr>
          <w:ilvl w:val="1"/>
          <w:numId w:val="1"/>
        </w:numPr>
        <w:spacing w:before="120" w:after="120" w:line="276" w:lineRule="auto"/>
        <w:ind w:left="0" w:firstLine="0"/>
        <w:jc w:val="both"/>
        <w:rPr>
          <w:rFonts w:cs="Times New Roman"/>
          <w:bCs/>
          <w:iCs/>
          <w:sz w:val="22"/>
          <w:szCs w:val="22"/>
        </w:rPr>
      </w:pPr>
      <w:r w:rsidRPr="00A33734">
        <w:rPr>
          <w:rFonts w:cs="Times New Roman"/>
          <w:bCs/>
          <w:iCs/>
          <w:sz w:val="22"/>
          <w:szCs w:val="22"/>
        </w:rPr>
        <w:t>O Credenciamento é o nível básico do registro cadastral no SICAF, que permite a participação dos interessados na modalidade licitatória Pregão, em sua forma eletrônica.</w:t>
      </w:r>
    </w:p>
    <w:p w:rsidR="000F104D" w:rsidRPr="00A33734" w:rsidRDefault="000F104D" w:rsidP="007857DA">
      <w:pPr>
        <w:numPr>
          <w:ilvl w:val="1"/>
          <w:numId w:val="1"/>
        </w:numPr>
        <w:spacing w:before="120" w:after="120" w:line="276" w:lineRule="auto"/>
        <w:ind w:left="0" w:firstLine="0"/>
        <w:jc w:val="both"/>
        <w:rPr>
          <w:rFonts w:cs="Times New Roman"/>
          <w:bCs/>
          <w:iCs/>
          <w:sz w:val="22"/>
          <w:szCs w:val="22"/>
        </w:rPr>
      </w:pPr>
      <w:r w:rsidRPr="00A33734">
        <w:rPr>
          <w:rFonts w:cs="Times New Roman"/>
          <w:bCs/>
          <w:iCs/>
          <w:sz w:val="22"/>
          <w:szCs w:val="22"/>
        </w:rPr>
        <w:t xml:space="preserve">O cadastro no SICAF poderá ser iniciado no Portal de Compras do Governo Federal – Comprasnet, no sítio www.comprasnet.gov.br, com a solicitação de </w:t>
      </w:r>
      <w:r w:rsidR="00321B33" w:rsidRPr="00A33734">
        <w:rPr>
          <w:rFonts w:cs="Times New Roman"/>
          <w:bCs/>
          <w:iCs/>
          <w:sz w:val="22"/>
          <w:szCs w:val="22"/>
        </w:rPr>
        <w:t>“</w:t>
      </w:r>
      <w:proofErr w:type="spellStart"/>
      <w:r w:rsidRPr="00A33734">
        <w:rPr>
          <w:rFonts w:cs="Times New Roman"/>
          <w:bCs/>
          <w:iCs/>
          <w:sz w:val="22"/>
          <w:szCs w:val="22"/>
        </w:rPr>
        <w:t>login</w:t>
      </w:r>
      <w:proofErr w:type="spellEnd"/>
      <w:r w:rsidR="00321B33" w:rsidRPr="00A33734">
        <w:rPr>
          <w:rFonts w:cs="Times New Roman"/>
          <w:bCs/>
          <w:iCs/>
          <w:sz w:val="22"/>
          <w:szCs w:val="22"/>
        </w:rPr>
        <w:t>”</w:t>
      </w:r>
      <w:r w:rsidRPr="00A33734">
        <w:rPr>
          <w:rFonts w:cs="Times New Roman"/>
          <w:bCs/>
          <w:iCs/>
          <w:sz w:val="22"/>
          <w:szCs w:val="22"/>
        </w:rPr>
        <w:t xml:space="preserve"> e senha pelo interessado.</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3239DD" w:rsidRDefault="000F104D" w:rsidP="007857DA">
      <w:pPr>
        <w:numPr>
          <w:ilvl w:val="1"/>
          <w:numId w:val="1"/>
        </w:numPr>
        <w:spacing w:before="120" w:after="120" w:line="276" w:lineRule="auto"/>
        <w:ind w:left="0" w:firstLine="0"/>
        <w:jc w:val="both"/>
        <w:rPr>
          <w:rFonts w:cs="Times New Roman"/>
          <w:bCs/>
          <w:sz w:val="22"/>
          <w:szCs w:val="22"/>
        </w:rPr>
      </w:pPr>
      <w:r w:rsidRPr="00A33734">
        <w:rPr>
          <w:rFonts w:cs="Times New Roman"/>
          <w:sz w:val="22"/>
          <w:szCs w:val="22"/>
          <w:lang w:eastAsia="en-US"/>
        </w:rPr>
        <w:lastRenderedPageBreak/>
        <w:t>A perda da senha ou a quebra de sigilo dever</w:t>
      </w:r>
      <w:r w:rsidR="009F63D7" w:rsidRPr="00A33734">
        <w:rPr>
          <w:rFonts w:cs="Times New Roman"/>
          <w:sz w:val="22"/>
          <w:szCs w:val="22"/>
          <w:lang w:eastAsia="en-US"/>
        </w:rPr>
        <w:t>á</w:t>
      </w:r>
      <w:r w:rsidRPr="00A33734">
        <w:rPr>
          <w:rFonts w:cs="Times New Roman"/>
          <w:sz w:val="22"/>
          <w:szCs w:val="22"/>
          <w:lang w:eastAsia="en-US"/>
        </w:rPr>
        <w:t xml:space="preserve"> ser comunicada imediatamente ao provedor do sistema para imediato bloqueio de acesso.</w:t>
      </w:r>
    </w:p>
    <w:p w:rsidR="003239DD" w:rsidRDefault="003239DD" w:rsidP="003239DD">
      <w:pPr>
        <w:spacing w:before="120" w:after="120" w:line="276" w:lineRule="auto"/>
        <w:jc w:val="both"/>
        <w:rPr>
          <w:rFonts w:cs="Times New Roman"/>
          <w:sz w:val="22"/>
          <w:szCs w:val="22"/>
          <w:lang w:eastAsia="en-US"/>
        </w:rPr>
      </w:pPr>
    </w:p>
    <w:p w:rsidR="000F104D" w:rsidRPr="00A33734" w:rsidRDefault="003239DD" w:rsidP="007857DA">
      <w:pPr>
        <w:numPr>
          <w:ilvl w:val="0"/>
          <w:numId w:val="1"/>
        </w:numPr>
        <w:snapToGrid w:val="0"/>
        <w:spacing w:before="120" w:after="120" w:line="276" w:lineRule="auto"/>
        <w:ind w:left="0" w:firstLine="0"/>
        <w:jc w:val="both"/>
        <w:rPr>
          <w:rFonts w:cs="Times New Roman"/>
          <w:b/>
          <w:bCs/>
          <w:sz w:val="22"/>
          <w:szCs w:val="22"/>
        </w:rPr>
      </w:pPr>
      <w:r>
        <w:rPr>
          <w:rFonts w:cs="Times New Roman"/>
          <w:b/>
          <w:bCs/>
          <w:sz w:val="22"/>
          <w:szCs w:val="22"/>
        </w:rPr>
        <w:t>DA PARTICIPAÇÃO NO PREGÃO</w:t>
      </w:r>
    </w:p>
    <w:p w:rsidR="00D94D56" w:rsidRPr="00A33734" w:rsidRDefault="00D94D56" w:rsidP="007857DA">
      <w:pPr>
        <w:numPr>
          <w:ilvl w:val="1"/>
          <w:numId w:val="1"/>
        </w:numPr>
        <w:spacing w:before="120" w:after="120" w:line="276" w:lineRule="auto"/>
        <w:ind w:left="0" w:firstLine="0"/>
        <w:jc w:val="both"/>
        <w:rPr>
          <w:rFonts w:cs="Times New Roman"/>
          <w:bCs/>
          <w:sz w:val="22"/>
          <w:szCs w:val="22"/>
        </w:rPr>
      </w:pPr>
      <w:r w:rsidRPr="00A33734">
        <w:rPr>
          <w:rFonts w:cs="Times New Roman"/>
          <w:bCs/>
          <w:sz w:val="22"/>
          <w:szCs w:val="22"/>
        </w:rPr>
        <w:t xml:space="preserve">A participação neste Pregão é </w:t>
      </w:r>
      <w:r w:rsidRPr="00B17729">
        <w:rPr>
          <w:rFonts w:cs="Times New Roman"/>
          <w:b/>
          <w:bCs/>
          <w:sz w:val="22"/>
          <w:szCs w:val="22"/>
        </w:rPr>
        <w:t>exclusiva</w:t>
      </w:r>
      <w:r w:rsidRPr="00A33734">
        <w:rPr>
          <w:rFonts w:cs="Times New Roman"/>
          <w:bCs/>
          <w:sz w:val="22"/>
          <w:szCs w:val="22"/>
        </w:rPr>
        <w:t xml:space="preserve"> a microempresas, empresas de pequeno porte e sociedades cooperativas, </w:t>
      </w:r>
      <w:r w:rsidRPr="00A33734">
        <w:rPr>
          <w:rFonts w:cs="Times New Roman"/>
          <w:b/>
          <w:bCs/>
          <w:sz w:val="22"/>
          <w:szCs w:val="22"/>
        </w:rPr>
        <w:t>cujo ramo de atividade seja compatível com o objeto desta licitação</w:t>
      </w:r>
      <w:r w:rsidRPr="00A33734">
        <w:rPr>
          <w:rFonts w:cs="Times New Roman"/>
          <w:bCs/>
          <w:sz w:val="22"/>
          <w:szCs w:val="22"/>
        </w:rPr>
        <w:t>, e que estejam com Credenciamento regular no</w:t>
      </w:r>
      <w:r w:rsidRPr="00A33734">
        <w:rPr>
          <w:rFonts w:cs="Times New Roman"/>
          <w:sz w:val="22"/>
          <w:szCs w:val="22"/>
        </w:rPr>
        <w:t xml:space="preserve"> Sistema de Cadastramento Unificado de Fornecedores – SICAF, conforme disposto no §3º do artigo 8º da Instrução Normativa SLTI/MPOG nº 2, de 2010. </w:t>
      </w:r>
    </w:p>
    <w:p w:rsidR="005523D0" w:rsidRPr="00A33734" w:rsidRDefault="005523D0" w:rsidP="007857DA">
      <w:pPr>
        <w:numPr>
          <w:ilvl w:val="1"/>
          <w:numId w:val="1"/>
        </w:numPr>
        <w:spacing w:before="120" w:after="120" w:line="276" w:lineRule="auto"/>
        <w:ind w:left="0" w:firstLine="0"/>
        <w:jc w:val="both"/>
        <w:rPr>
          <w:rFonts w:cs="Times New Roman"/>
          <w:bCs/>
          <w:iCs/>
          <w:sz w:val="22"/>
          <w:szCs w:val="22"/>
        </w:rPr>
      </w:pPr>
      <w:r w:rsidRPr="00A33734">
        <w:rPr>
          <w:rFonts w:cs="Times New Roman"/>
          <w:bCs/>
          <w:sz w:val="22"/>
          <w:szCs w:val="22"/>
        </w:rPr>
        <w:t>Não poderão participar desta licitação os interessados:</w:t>
      </w:r>
    </w:p>
    <w:p w:rsidR="005523D0" w:rsidRPr="00A33734" w:rsidRDefault="00FA5019" w:rsidP="007857DA">
      <w:pPr>
        <w:numPr>
          <w:ilvl w:val="2"/>
          <w:numId w:val="1"/>
        </w:numPr>
        <w:tabs>
          <w:tab w:val="left" w:pos="1134"/>
        </w:tabs>
        <w:autoSpaceDE w:val="0"/>
        <w:snapToGrid w:val="0"/>
        <w:spacing w:before="120" w:after="120" w:line="276" w:lineRule="auto"/>
        <w:ind w:left="567" w:firstLine="0"/>
        <w:jc w:val="both"/>
        <w:rPr>
          <w:rFonts w:cs="Times New Roman"/>
          <w:bCs/>
          <w:sz w:val="22"/>
          <w:szCs w:val="22"/>
        </w:rPr>
      </w:pPr>
      <w:r w:rsidRPr="00A33734">
        <w:rPr>
          <w:rFonts w:cs="Times New Roman"/>
          <w:bCs/>
          <w:sz w:val="22"/>
          <w:szCs w:val="22"/>
        </w:rPr>
        <w:t>Proibidos</w:t>
      </w:r>
      <w:r w:rsidR="005523D0" w:rsidRPr="00A33734">
        <w:rPr>
          <w:rFonts w:cs="Times New Roman"/>
          <w:bCs/>
          <w:sz w:val="22"/>
          <w:szCs w:val="22"/>
        </w:rPr>
        <w:t xml:space="preserve"> de participar de licitações e celebrar contratos administrativos, na forma da legislação vigente;</w:t>
      </w:r>
    </w:p>
    <w:p w:rsidR="005523D0" w:rsidRPr="00A33734" w:rsidRDefault="00FA5019"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sidRPr="00A33734">
        <w:rPr>
          <w:rFonts w:cs="Times New Roman"/>
          <w:bCs/>
          <w:sz w:val="22"/>
          <w:szCs w:val="22"/>
        </w:rPr>
        <w:t>Estrangeiros</w:t>
      </w:r>
      <w:r w:rsidR="005523D0" w:rsidRPr="00A33734">
        <w:rPr>
          <w:rFonts w:cs="Times New Roman"/>
          <w:bCs/>
          <w:sz w:val="22"/>
          <w:szCs w:val="22"/>
        </w:rPr>
        <w:t xml:space="preserve"> que não tenham representação legal no Brasil com poderes expressos para receber citação e responder administrativa ou judicialmente;</w:t>
      </w:r>
    </w:p>
    <w:p w:rsidR="005523D0" w:rsidRPr="00A33734" w:rsidRDefault="00FA5019"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sidRPr="00A33734">
        <w:rPr>
          <w:rFonts w:eastAsia="Arial Unicode MS" w:cs="Times New Roman"/>
          <w:sz w:val="22"/>
          <w:szCs w:val="22"/>
        </w:rPr>
        <w:t>Que</w:t>
      </w:r>
      <w:r w:rsidR="005523D0" w:rsidRPr="00A33734">
        <w:rPr>
          <w:rFonts w:eastAsia="Arial Unicode MS" w:cs="Times New Roman"/>
          <w:sz w:val="22"/>
          <w:szCs w:val="22"/>
        </w:rPr>
        <w:t xml:space="preserve"> se enquadrem nas vedações previstas no artigo 9º da Lei nº 8.666, de 1993;</w:t>
      </w:r>
    </w:p>
    <w:p w:rsidR="005523D0" w:rsidRPr="00A33734" w:rsidRDefault="00FA5019"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sidRPr="00A33734">
        <w:rPr>
          <w:rFonts w:cs="Times New Roman"/>
          <w:sz w:val="22"/>
          <w:szCs w:val="22"/>
        </w:rPr>
        <w:t>Que</w:t>
      </w:r>
      <w:r w:rsidR="005523D0" w:rsidRPr="00A33734">
        <w:rPr>
          <w:rFonts w:cs="Times New Roman"/>
          <w:sz w:val="22"/>
          <w:szCs w:val="22"/>
        </w:rPr>
        <w:t xml:space="preserve"> estejam sob falência, em recuperação judicial ou extrajudicial, concurso de credores, concordata ou insolvência, em processo de dissolução ou liquidação;</w:t>
      </w:r>
    </w:p>
    <w:p w:rsidR="005523D0" w:rsidRPr="00B17729" w:rsidRDefault="00FA5019"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sidRPr="00A33734">
        <w:rPr>
          <w:sz w:val="22"/>
          <w:szCs w:val="22"/>
        </w:rPr>
        <w:t>Entidades</w:t>
      </w:r>
      <w:r w:rsidR="005523D0" w:rsidRPr="00A33734">
        <w:rPr>
          <w:sz w:val="22"/>
          <w:szCs w:val="22"/>
        </w:rPr>
        <w:t xml:space="preserve"> empresariais que estejam reunidas em consórcio;</w:t>
      </w:r>
    </w:p>
    <w:p w:rsidR="00B17729" w:rsidRPr="00A33734" w:rsidRDefault="00B17729"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Pr>
          <w:sz w:val="22"/>
          <w:szCs w:val="22"/>
        </w:rPr>
        <w:t>Os familiares de agente público que esteja investido em cargo de comissão ou função de confiança perante o órgão promotor da licitação, conforme vedação prevista no Decreto nº 7.203, de 4 de junho de 2010.</w:t>
      </w:r>
    </w:p>
    <w:p w:rsidR="00891F59" w:rsidRPr="00A33734" w:rsidRDefault="00891F59" w:rsidP="007857DA">
      <w:pPr>
        <w:pStyle w:val="PargrafodaLista"/>
        <w:spacing w:before="120" w:after="120"/>
        <w:ind w:left="0"/>
        <w:contextualSpacing w:val="0"/>
        <w:jc w:val="both"/>
        <w:rPr>
          <w:rFonts w:eastAsia="Zurich BT" w:cs="Times New Roman"/>
          <w:bCs/>
          <w:sz w:val="22"/>
          <w:szCs w:val="22"/>
        </w:rPr>
      </w:pPr>
    </w:p>
    <w:p w:rsidR="00F451D5" w:rsidRPr="00A33734" w:rsidRDefault="00F451D5"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A33734" w:rsidRDefault="00D94D56"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Como condição para participação no Pregão, a entidade de menor porte deverá declarar:</w:t>
      </w:r>
    </w:p>
    <w:p w:rsidR="00D94D56" w:rsidRPr="00A33734" w:rsidRDefault="00FA5019" w:rsidP="007857DA">
      <w:pPr>
        <w:numPr>
          <w:ilvl w:val="2"/>
          <w:numId w:val="1"/>
        </w:numPr>
        <w:tabs>
          <w:tab w:val="left" w:pos="1134"/>
        </w:tabs>
        <w:autoSpaceDE w:val="0"/>
        <w:snapToGrid w:val="0"/>
        <w:spacing w:before="120" w:after="120" w:line="276" w:lineRule="auto"/>
        <w:ind w:left="567" w:firstLine="0"/>
        <w:jc w:val="both"/>
        <w:rPr>
          <w:rFonts w:cs="Times New Roman"/>
          <w:sz w:val="22"/>
          <w:szCs w:val="22"/>
        </w:rPr>
      </w:pPr>
      <w:r w:rsidRPr="00A33734">
        <w:rPr>
          <w:rFonts w:cs="Times New Roman"/>
          <w:bCs/>
          <w:sz w:val="22"/>
          <w:szCs w:val="22"/>
        </w:rPr>
        <w:t>Que</w:t>
      </w:r>
      <w:r w:rsidR="00D94D56" w:rsidRPr="00A33734">
        <w:rPr>
          <w:rFonts w:cs="Times New Roman"/>
          <w:bCs/>
          <w:sz w:val="22"/>
          <w:szCs w:val="22"/>
        </w:rPr>
        <w:t xml:space="preserve"> cumpre os requisitos estabelecidos no artigo 3° </w:t>
      </w:r>
      <w:r w:rsidR="00D94D56" w:rsidRPr="00A33734">
        <w:rPr>
          <w:rFonts w:cs="Times New Roman"/>
          <w:sz w:val="22"/>
          <w:szCs w:val="22"/>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00D94D56" w:rsidRPr="00A33734">
          <w:rPr>
            <w:rFonts w:cs="Times New Roman"/>
            <w:sz w:val="22"/>
            <w:szCs w:val="22"/>
          </w:rPr>
          <w:t>42 a</w:t>
        </w:r>
      </w:smartTag>
      <w:r w:rsidR="00D94D56" w:rsidRPr="00A33734">
        <w:rPr>
          <w:rFonts w:cs="Times New Roman"/>
          <w:sz w:val="22"/>
          <w:szCs w:val="22"/>
        </w:rPr>
        <w:t xml:space="preserve"> 49.</w:t>
      </w:r>
    </w:p>
    <w:p w:rsidR="00D94D56" w:rsidRPr="00A33734" w:rsidRDefault="00D94D56"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Deverá assinalar, ainda, “sim” ou “não” em campo próprio do sistema eletrônico, relativo às seguintes declarações:</w:t>
      </w:r>
    </w:p>
    <w:p w:rsidR="00D94D56" w:rsidRPr="00A33734" w:rsidRDefault="007857DA" w:rsidP="007857DA">
      <w:pPr>
        <w:numPr>
          <w:ilvl w:val="2"/>
          <w:numId w:val="1"/>
        </w:numPr>
        <w:tabs>
          <w:tab w:val="left" w:pos="1134"/>
        </w:tabs>
        <w:autoSpaceDE w:val="0"/>
        <w:snapToGrid w:val="0"/>
        <w:spacing w:before="120" w:after="120" w:line="276" w:lineRule="auto"/>
        <w:ind w:left="567" w:firstLine="0"/>
        <w:jc w:val="both"/>
        <w:rPr>
          <w:rFonts w:cs="Times New Roman"/>
          <w:bCs/>
          <w:sz w:val="22"/>
          <w:szCs w:val="22"/>
        </w:rPr>
      </w:pPr>
      <w:r w:rsidRPr="00A33734">
        <w:rPr>
          <w:rFonts w:cs="Times New Roman"/>
          <w:sz w:val="22"/>
          <w:szCs w:val="22"/>
        </w:rPr>
        <w:t>Que</w:t>
      </w:r>
      <w:r w:rsidR="00D94D56" w:rsidRPr="00A33734">
        <w:rPr>
          <w:rFonts w:cs="Times New Roman"/>
          <w:sz w:val="22"/>
          <w:szCs w:val="22"/>
        </w:rPr>
        <w:t xml:space="preserve"> está ciente e concorda com as condições contidas no Edital e seus anexos, bem como de que cumpre plenamente os requisitos de habilitação definidos no Edital;</w:t>
      </w:r>
    </w:p>
    <w:p w:rsidR="00D94D56" w:rsidRPr="00A33734" w:rsidRDefault="007857DA" w:rsidP="007857DA">
      <w:pPr>
        <w:numPr>
          <w:ilvl w:val="2"/>
          <w:numId w:val="1"/>
        </w:numPr>
        <w:tabs>
          <w:tab w:val="left" w:pos="1134"/>
        </w:tabs>
        <w:autoSpaceDE w:val="0"/>
        <w:snapToGrid w:val="0"/>
        <w:spacing w:before="120" w:after="120" w:line="276" w:lineRule="auto"/>
        <w:ind w:left="567" w:firstLine="0"/>
        <w:jc w:val="both"/>
        <w:rPr>
          <w:rFonts w:eastAsia="Zurich BT" w:cs="Times New Roman"/>
          <w:sz w:val="22"/>
          <w:szCs w:val="22"/>
        </w:rPr>
      </w:pPr>
      <w:r w:rsidRPr="00A33734">
        <w:rPr>
          <w:rFonts w:cs="Times New Roman"/>
          <w:sz w:val="22"/>
          <w:szCs w:val="22"/>
        </w:rPr>
        <w:t>Que</w:t>
      </w:r>
      <w:r w:rsidR="00D94D56" w:rsidRPr="00A33734">
        <w:rPr>
          <w:rFonts w:cs="Times New Roman"/>
          <w:sz w:val="22"/>
          <w:szCs w:val="22"/>
        </w:rPr>
        <w:t xml:space="preserve"> inexistem fatos impeditivos para sua habilitação no certame, ciente da obrigatoriedade de de</w:t>
      </w:r>
      <w:r w:rsidR="00C3414F" w:rsidRPr="00A33734">
        <w:rPr>
          <w:rFonts w:cs="Times New Roman"/>
          <w:sz w:val="22"/>
          <w:szCs w:val="22"/>
        </w:rPr>
        <w:t>clarar ocorrências posteriores;</w:t>
      </w:r>
    </w:p>
    <w:p w:rsidR="00D94D56" w:rsidRPr="00A33734" w:rsidRDefault="007857DA" w:rsidP="007857DA">
      <w:pPr>
        <w:numPr>
          <w:ilvl w:val="2"/>
          <w:numId w:val="1"/>
        </w:numPr>
        <w:tabs>
          <w:tab w:val="left" w:pos="1134"/>
        </w:tabs>
        <w:autoSpaceDE w:val="0"/>
        <w:snapToGrid w:val="0"/>
        <w:spacing w:before="120" w:after="120" w:line="276" w:lineRule="auto"/>
        <w:ind w:left="567" w:firstLine="0"/>
        <w:jc w:val="both"/>
        <w:rPr>
          <w:rFonts w:eastAsia="Zurich BT" w:cs="Times New Roman"/>
          <w:bCs/>
          <w:sz w:val="22"/>
          <w:szCs w:val="22"/>
        </w:rPr>
      </w:pPr>
      <w:r w:rsidRPr="00A33734">
        <w:rPr>
          <w:rFonts w:cs="Times New Roman"/>
          <w:sz w:val="22"/>
          <w:szCs w:val="22"/>
        </w:rPr>
        <w:lastRenderedPageBreak/>
        <w:t>Que</w:t>
      </w:r>
      <w:r w:rsidR="00D94D56" w:rsidRPr="00A33734">
        <w:rPr>
          <w:rFonts w:cs="Times New Roman"/>
          <w:sz w:val="22"/>
          <w:szCs w:val="22"/>
        </w:rPr>
        <w:t xml:space="preserve"> não emprega menor de 18 anos em trabalho noturno, perigoso ou insalubre e não emprega menor de 16 anos, salvo menor, a partir de 14 anos, na condição de aprendiz, nos termos do art</w:t>
      </w:r>
      <w:r w:rsidR="00891F59" w:rsidRPr="00A33734">
        <w:rPr>
          <w:rFonts w:cs="Times New Roman"/>
          <w:sz w:val="22"/>
          <w:szCs w:val="22"/>
        </w:rPr>
        <w:t>igo 7°, XXXIII, da Constituição;</w:t>
      </w:r>
    </w:p>
    <w:p w:rsidR="00D94D56" w:rsidRDefault="007857DA" w:rsidP="007857DA">
      <w:pPr>
        <w:numPr>
          <w:ilvl w:val="2"/>
          <w:numId w:val="1"/>
        </w:numPr>
        <w:tabs>
          <w:tab w:val="left" w:pos="1134"/>
        </w:tabs>
        <w:autoSpaceDE w:val="0"/>
        <w:snapToGrid w:val="0"/>
        <w:spacing w:before="120" w:after="120" w:line="276" w:lineRule="auto"/>
        <w:ind w:left="567" w:firstLine="0"/>
        <w:jc w:val="both"/>
        <w:rPr>
          <w:rFonts w:cs="Times New Roman"/>
          <w:sz w:val="22"/>
          <w:szCs w:val="22"/>
        </w:rPr>
      </w:pPr>
      <w:r w:rsidRPr="00A33734">
        <w:rPr>
          <w:rFonts w:eastAsia="Zurich BT" w:cs="Times New Roman"/>
          <w:sz w:val="22"/>
          <w:szCs w:val="22"/>
        </w:rPr>
        <w:t>Que</w:t>
      </w:r>
      <w:r w:rsidR="00D94D56" w:rsidRPr="00A33734">
        <w:rPr>
          <w:rFonts w:eastAsia="Zurich BT" w:cs="Times New Roman"/>
          <w:sz w:val="22"/>
          <w:szCs w:val="22"/>
        </w:rPr>
        <w:t xml:space="preserve"> a proposta foi elaborada de forma independente, nos termos d</w:t>
      </w:r>
      <w:r w:rsidR="00D94D56" w:rsidRPr="00A33734">
        <w:rPr>
          <w:rFonts w:cs="Times New Roman"/>
          <w:sz w:val="22"/>
          <w:szCs w:val="22"/>
        </w:rPr>
        <w:t>a Instrução Normativa SLTI/MPOG nº 2, de 16 de setembro de 2009.</w:t>
      </w:r>
    </w:p>
    <w:p w:rsidR="003239DD" w:rsidRDefault="003239DD" w:rsidP="003239DD">
      <w:pPr>
        <w:tabs>
          <w:tab w:val="left" w:pos="1134"/>
        </w:tabs>
        <w:autoSpaceDE w:val="0"/>
        <w:snapToGrid w:val="0"/>
        <w:spacing w:before="120" w:after="120" w:line="276" w:lineRule="auto"/>
        <w:ind w:left="567"/>
        <w:jc w:val="both"/>
        <w:rPr>
          <w:rFonts w:cs="Times New Roman"/>
          <w:sz w:val="22"/>
          <w:szCs w:val="22"/>
        </w:rPr>
      </w:pPr>
    </w:p>
    <w:p w:rsidR="003239DD" w:rsidRPr="003239DD" w:rsidRDefault="003239DD" w:rsidP="003239DD">
      <w:pPr>
        <w:numPr>
          <w:ilvl w:val="0"/>
          <w:numId w:val="1"/>
        </w:numPr>
        <w:spacing w:before="120" w:after="120" w:line="276" w:lineRule="auto"/>
        <w:ind w:left="0" w:firstLine="0"/>
        <w:jc w:val="both"/>
        <w:rPr>
          <w:rFonts w:cs="Times New Roman"/>
          <w:b/>
          <w:sz w:val="22"/>
          <w:szCs w:val="22"/>
        </w:rPr>
      </w:pPr>
      <w:r w:rsidRPr="003239DD">
        <w:rPr>
          <w:rFonts w:cs="Times New Roman"/>
          <w:b/>
          <w:sz w:val="22"/>
          <w:szCs w:val="22"/>
        </w:rPr>
        <w:t>DO ENQUADRAMENTO COMO MICROEMPRESAS, EMPRESAS DE PEQUENO PORTE E EQUIPARADOS</w:t>
      </w:r>
    </w:p>
    <w:p w:rsidR="003239DD" w:rsidRPr="003239DD" w:rsidRDefault="003239DD" w:rsidP="00431819">
      <w:pPr>
        <w:pStyle w:val="PargrafodaLista"/>
        <w:numPr>
          <w:ilvl w:val="1"/>
          <w:numId w:val="3"/>
        </w:numPr>
        <w:tabs>
          <w:tab w:val="left" w:pos="709"/>
        </w:tabs>
        <w:spacing w:before="120" w:after="120"/>
        <w:ind w:left="0" w:firstLine="0"/>
        <w:contextualSpacing w:val="0"/>
        <w:jc w:val="both"/>
        <w:rPr>
          <w:rFonts w:eastAsia="Zurich BT" w:cs="Times New Roman"/>
          <w:sz w:val="22"/>
          <w:szCs w:val="22"/>
        </w:rPr>
      </w:pPr>
      <w:r w:rsidRPr="003239DD">
        <w:rPr>
          <w:rFonts w:eastAsia="Zurich BT" w:cs="Times New Roman"/>
          <w:sz w:val="22"/>
          <w:szCs w:val="22"/>
        </w:rPr>
        <w:t xml:space="preserve">O enquadramento como microempresa - ME ou empresa de pequeno porte - EPP dar-se-á nas condições do Estatuto Nacional da Microempresa e Empresa de Pequeno Porte, instituído pela Lei Complementar nº 123/06. </w:t>
      </w:r>
    </w:p>
    <w:p w:rsidR="003239DD" w:rsidRPr="003239DD" w:rsidRDefault="003239DD" w:rsidP="00431819">
      <w:pPr>
        <w:pStyle w:val="PargrafodaLista"/>
        <w:numPr>
          <w:ilvl w:val="1"/>
          <w:numId w:val="3"/>
        </w:numPr>
        <w:tabs>
          <w:tab w:val="left" w:pos="709"/>
        </w:tabs>
        <w:spacing w:before="120" w:after="120"/>
        <w:ind w:left="0" w:firstLine="0"/>
        <w:contextualSpacing w:val="0"/>
        <w:jc w:val="both"/>
        <w:rPr>
          <w:rFonts w:eastAsia="Zurich BT" w:cs="Times New Roman"/>
          <w:sz w:val="22"/>
          <w:szCs w:val="22"/>
        </w:rPr>
      </w:pPr>
      <w:r w:rsidRPr="003239DD">
        <w:rPr>
          <w:rFonts w:eastAsia="Zurich BT" w:cs="Times New Roman"/>
          <w:sz w:val="22"/>
          <w:szCs w:val="22"/>
        </w:rPr>
        <w:t xml:space="preserve">A sociedade cooperativa com receita bruta igual ou inferior a R$ 3.600.000,00, em conformidade com as disposições do art. 34 da Lei nº 11.488/07 e do art. 3º, § 4º, VI da Lei Complementar nº 123/06, receberá o mesmo tratamento concedido por essa Lei Complementar às ME/EPP. </w:t>
      </w:r>
    </w:p>
    <w:p w:rsidR="003239DD" w:rsidRPr="003239DD" w:rsidRDefault="003239DD" w:rsidP="00431819">
      <w:pPr>
        <w:pStyle w:val="PargrafodaLista"/>
        <w:numPr>
          <w:ilvl w:val="1"/>
          <w:numId w:val="3"/>
        </w:numPr>
        <w:tabs>
          <w:tab w:val="left" w:pos="709"/>
        </w:tabs>
        <w:spacing w:before="120" w:after="120"/>
        <w:ind w:left="0" w:firstLine="0"/>
        <w:contextualSpacing w:val="0"/>
        <w:jc w:val="both"/>
        <w:rPr>
          <w:rFonts w:eastAsia="Zurich BT" w:cs="Times New Roman"/>
          <w:sz w:val="22"/>
          <w:szCs w:val="22"/>
        </w:rPr>
      </w:pPr>
      <w:r w:rsidRPr="003239DD">
        <w:rPr>
          <w:rFonts w:eastAsia="Zurich BT" w:cs="Times New Roman"/>
          <w:sz w:val="22"/>
          <w:szCs w:val="22"/>
        </w:rPr>
        <w:t>A pessoa física ou o empresário individual enquadrados nos limites definidos pelo art. 3º da Lei Complementar nº 123/06 receberá o mesmo tratamento concedido por essa Lei às ME/EPP.</w:t>
      </w:r>
    </w:p>
    <w:p w:rsidR="003239DD" w:rsidRPr="003239DD" w:rsidRDefault="003239DD" w:rsidP="00431819">
      <w:pPr>
        <w:numPr>
          <w:ilvl w:val="1"/>
          <w:numId w:val="3"/>
        </w:numPr>
        <w:tabs>
          <w:tab w:val="left" w:pos="709"/>
        </w:tabs>
        <w:spacing w:before="120" w:after="120"/>
        <w:ind w:left="0" w:firstLine="0"/>
        <w:jc w:val="both"/>
        <w:rPr>
          <w:rFonts w:eastAsia="Zurich BT" w:cs="Times New Roman"/>
          <w:sz w:val="22"/>
          <w:szCs w:val="22"/>
        </w:rPr>
      </w:pPr>
      <w:r w:rsidRPr="003239DD">
        <w:rPr>
          <w:rFonts w:eastAsia="Zurich BT" w:cs="Times New Roman"/>
          <w:sz w:val="22"/>
          <w:szCs w:val="22"/>
        </w:rPr>
        <w:t>A fruição dos benefícios licitatórios determinados pela Lei Complementar nº 123/06 independe da habilitação da ME/EPP ou equiparado para a obtenção do regime tributário simplificado.</w:t>
      </w:r>
    </w:p>
    <w:p w:rsidR="003239DD" w:rsidRPr="003239DD" w:rsidRDefault="003239DD" w:rsidP="00431819">
      <w:pPr>
        <w:numPr>
          <w:ilvl w:val="1"/>
          <w:numId w:val="3"/>
        </w:numPr>
        <w:tabs>
          <w:tab w:val="left" w:pos="709"/>
        </w:tabs>
        <w:spacing w:before="120" w:after="120"/>
        <w:ind w:left="0" w:firstLine="0"/>
        <w:jc w:val="both"/>
        <w:rPr>
          <w:rFonts w:eastAsia="Zurich BT" w:cs="Times New Roman"/>
          <w:sz w:val="22"/>
          <w:szCs w:val="22"/>
        </w:rPr>
      </w:pPr>
      <w:r w:rsidRPr="003239DD">
        <w:rPr>
          <w:rFonts w:eastAsia="Zurich BT" w:cs="Times New Roman"/>
          <w:sz w:val="22"/>
          <w:szCs w:val="22"/>
        </w:rPr>
        <w:t xml:space="preserve">Como condição para participação no certame, os licitantes deverão apresentar declaração em campo próprio do sistema que cumprem os requisitos legais para a qualificação como ME/EPP ou equiparado, estando aptos a usufruir do tratamento favorecido estabelecido nos </w:t>
      </w:r>
      <w:proofErr w:type="spellStart"/>
      <w:r w:rsidRPr="003239DD">
        <w:rPr>
          <w:rFonts w:eastAsia="Zurich BT" w:cs="Times New Roman"/>
          <w:sz w:val="22"/>
          <w:szCs w:val="22"/>
        </w:rPr>
        <w:t>arts</w:t>
      </w:r>
      <w:proofErr w:type="spellEnd"/>
      <w:r w:rsidRPr="003239DD">
        <w:rPr>
          <w:rFonts w:eastAsia="Zurich BT" w:cs="Times New Roman"/>
          <w:sz w:val="22"/>
          <w:szCs w:val="22"/>
        </w:rPr>
        <w:t>. 42 a 49 da referida Lei Complementar (Art. 11 do Decreto nº 6.204/07).</w:t>
      </w:r>
    </w:p>
    <w:p w:rsidR="003239DD" w:rsidRPr="003239DD" w:rsidRDefault="003239DD" w:rsidP="00431819">
      <w:pPr>
        <w:numPr>
          <w:ilvl w:val="1"/>
          <w:numId w:val="3"/>
        </w:numPr>
        <w:tabs>
          <w:tab w:val="left" w:pos="709"/>
        </w:tabs>
        <w:spacing w:before="120" w:after="120"/>
        <w:ind w:left="0" w:firstLine="0"/>
        <w:jc w:val="both"/>
        <w:rPr>
          <w:rFonts w:eastAsia="Zurich BT" w:cs="Times New Roman"/>
          <w:sz w:val="22"/>
          <w:szCs w:val="22"/>
        </w:rPr>
      </w:pPr>
      <w:r w:rsidRPr="003239DD">
        <w:rPr>
          <w:rFonts w:eastAsia="Zurich BT" w:cs="Times New Roman"/>
          <w:sz w:val="22"/>
          <w:szCs w:val="22"/>
        </w:rPr>
        <w:t>Caso inexistente campo próprio no sistema eletrônico, a declaração deverá ser enviada ao pregoeiro até a data e horário marcados para abertura da sessão.</w:t>
      </w:r>
    </w:p>
    <w:p w:rsidR="005523D0" w:rsidRPr="00A33734" w:rsidRDefault="005523D0" w:rsidP="007857DA">
      <w:pPr>
        <w:tabs>
          <w:tab w:val="left" w:pos="1440"/>
        </w:tabs>
        <w:autoSpaceDE w:val="0"/>
        <w:snapToGrid w:val="0"/>
        <w:spacing w:before="120" w:after="120" w:line="276" w:lineRule="auto"/>
        <w:jc w:val="both"/>
        <w:rPr>
          <w:rFonts w:cs="Times New Roman"/>
          <w:sz w:val="22"/>
          <w:szCs w:val="22"/>
        </w:rPr>
      </w:pPr>
    </w:p>
    <w:p w:rsidR="000F104D" w:rsidRPr="00A33734" w:rsidRDefault="000F104D" w:rsidP="007857DA">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DO ENVIO DA PROPOSTA</w:t>
      </w:r>
    </w:p>
    <w:p w:rsidR="00DF3D0B"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licitante deverá encaminhar a proposta por meio do sistema eletrônico até a data e horário marcados para abertura da sessão, quando</w:t>
      </w:r>
      <w:r w:rsidR="00E93527" w:rsidRPr="00A33734">
        <w:rPr>
          <w:rFonts w:cs="Times New Roman"/>
          <w:sz w:val="22"/>
          <w:szCs w:val="22"/>
        </w:rPr>
        <w:t>,</w:t>
      </w:r>
      <w:r w:rsidRPr="00A33734">
        <w:rPr>
          <w:rFonts w:cs="Times New Roman"/>
          <w:sz w:val="22"/>
          <w:szCs w:val="22"/>
        </w:rPr>
        <w:t xml:space="preserve"> então, encerrar-se-á automaticamente a fase de recebimento de propostas.</w:t>
      </w:r>
    </w:p>
    <w:p w:rsidR="00DF3D0B" w:rsidRPr="00A33734" w:rsidRDefault="00DF3D0B"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Todas as referências de tempo no Edital, no aviso e durante a sessão pública observarão o horário de Brasília – DF.</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licitante será responsável por todas as transações que forem efetuadas em seu nome no sistema eletrônico, assumindo como firmes e verdadeiras suas propostas e lances. </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Até a abertura da sessão, os licitantes poderão retirar ou substituir as propostas apresentadas.  </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lastRenderedPageBreak/>
        <w:t>O licitante deverá enviar sua proposta mediante o preenchimento, no sistema eletrônico, dos seguintes campos:</w:t>
      </w:r>
    </w:p>
    <w:p w:rsidR="000F104D" w:rsidRPr="00A33734" w:rsidRDefault="00FC0950" w:rsidP="007857DA">
      <w:pPr>
        <w:numPr>
          <w:ilvl w:val="2"/>
          <w:numId w:val="1"/>
        </w:numPr>
        <w:tabs>
          <w:tab w:val="left" w:pos="567"/>
          <w:tab w:val="left" w:pos="1134"/>
        </w:tabs>
        <w:autoSpaceDE w:val="0"/>
        <w:snapToGrid w:val="0"/>
        <w:spacing w:before="120" w:after="120" w:line="276" w:lineRule="auto"/>
        <w:ind w:left="567" w:firstLine="0"/>
        <w:jc w:val="both"/>
        <w:rPr>
          <w:rFonts w:cs="Times New Roman"/>
          <w:sz w:val="22"/>
          <w:szCs w:val="22"/>
        </w:rPr>
      </w:pPr>
      <w:r w:rsidRPr="00A33734">
        <w:rPr>
          <w:rFonts w:cs="Times New Roman"/>
          <w:i/>
          <w:sz w:val="22"/>
          <w:szCs w:val="22"/>
        </w:rPr>
        <w:t>V</w:t>
      </w:r>
      <w:r w:rsidR="000F104D" w:rsidRPr="00A33734">
        <w:rPr>
          <w:rFonts w:cs="Times New Roman"/>
          <w:i/>
          <w:sz w:val="22"/>
          <w:szCs w:val="22"/>
        </w:rPr>
        <w:t>alor</w:t>
      </w:r>
      <w:r w:rsidRPr="00A33734">
        <w:rPr>
          <w:rFonts w:cs="Times New Roman"/>
          <w:i/>
          <w:sz w:val="22"/>
          <w:szCs w:val="22"/>
        </w:rPr>
        <w:t xml:space="preserve"> unitário</w:t>
      </w:r>
      <w:r w:rsidR="000F104D" w:rsidRPr="00A33734">
        <w:rPr>
          <w:rFonts w:cs="Times New Roman"/>
          <w:i/>
          <w:sz w:val="22"/>
          <w:szCs w:val="22"/>
        </w:rPr>
        <w:t xml:space="preserve"> e </w:t>
      </w:r>
      <w:r w:rsidR="00BA4295" w:rsidRPr="00A33734">
        <w:rPr>
          <w:rFonts w:cs="Times New Roman"/>
          <w:i/>
          <w:sz w:val="22"/>
          <w:szCs w:val="22"/>
        </w:rPr>
        <w:t>total</w:t>
      </w:r>
      <w:r w:rsidR="000F104D" w:rsidRPr="00A33734">
        <w:rPr>
          <w:rFonts w:cs="Times New Roman"/>
          <w:sz w:val="22"/>
          <w:szCs w:val="22"/>
        </w:rPr>
        <w:t xml:space="preserve"> </w:t>
      </w:r>
      <w:r w:rsidR="000F104D" w:rsidRPr="00A33734">
        <w:rPr>
          <w:rFonts w:cs="Times New Roman"/>
          <w:bCs/>
          <w:i/>
          <w:iCs/>
          <w:sz w:val="22"/>
          <w:szCs w:val="22"/>
        </w:rPr>
        <w:t xml:space="preserve">do item; </w:t>
      </w:r>
    </w:p>
    <w:p w:rsidR="000F104D" w:rsidRPr="00A33734" w:rsidRDefault="000F104D" w:rsidP="007857DA">
      <w:pPr>
        <w:numPr>
          <w:ilvl w:val="2"/>
          <w:numId w:val="1"/>
        </w:numPr>
        <w:tabs>
          <w:tab w:val="left" w:pos="567"/>
          <w:tab w:val="left" w:pos="1134"/>
        </w:tabs>
        <w:autoSpaceDE w:val="0"/>
        <w:snapToGrid w:val="0"/>
        <w:spacing w:before="120" w:after="120" w:line="276" w:lineRule="auto"/>
        <w:ind w:left="567" w:firstLine="0"/>
        <w:jc w:val="both"/>
        <w:rPr>
          <w:rFonts w:cs="Times New Roman"/>
          <w:sz w:val="22"/>
          <w:szCs w:val="22"/>
        </w:rPr>
      </w:pPr>
      <w:r w:rsidRPr="00A33734">
        <w:rPr>
          <w:rFonts w:cs="Times New Roman"/>
          <w:bCs/>
          <w:iCs/>
          <w:sz w:val="22"/>
          <w:szCs w:val="22"/>
        </w:rPr>
        <w:t xml:space="preserve">Descrição detalhada do objeto, contendo, entre outras, as seguintes informações: </w:t>
      </w:r>
    </w:p>
    <w:p w:rsidR="000C3CC4" w:rsidRPr="00A33734" w:rsidRDefault="000C3CC4" w:rsidP="007857DA">
      <w:pPr>
        <w:numPr>
          <w:ilvl w:val="3"/>
          <w:numId w:val="1"/>
        </w:numPr>
        <w:tabs>
          <w:tab w:val="left" w:pos="1701"/>
        </w:tabs>
        <w:spacing w:before="120" w:after="120" w:line="276" w:lineRule="auto"/>
        <w:ind w:left="851" w:firstLine="0"/>
        <w:jc w:val="both"/>
        <w:rPr>
          <w:rFonts w:cs="Times New Roman"/>
          <w:sz w:val="22"/>
          <w:szCs w:val="22"/>
        </w:rPr>
      </w:pPr>
      <w:r w:rsidRPr="00A33734">
        <w:rPr>
          <w:rFonts w:cs="Times New Roman"/>
          <w:sz w:val="22"/>
          <w:szCs w:val="22"/>
        </w:rPr>
        <w:t>Prazo de entrega, observado o prazo máximo do Termo de Referencia;</w:t>
      </w:r>
    </w:p>
    <w:p w:rsidR="000F104D" w:rsidRPr="00A33734" w:rsidRDefault="000F104D" w:rsidP="007857DA">
      <w:pPr>
        <w:numPr>
          <w:ilvl w:val="1"/>
          <w:numId w:val="1"/>
        </w:numPr>
        <w:spacing w:before="120" w:after="120" w:line="276" w:lineRule="auto"/>
        <w:ind w:left="0" w:firstLine="0"/>
        <w:jc w:val="both"/>
        <w:rPr>
          <w:rFonts w:cs="Times New Roman"/>
          <w:iCs/>
          <w:sz w:val="22"/>
          <w:szCs w:val="22"/>
        </w:rPr>
      </w:pPr>
      <w:r w:rsidRPr="00A33734">
        <w:rPr>
          <w:rFonts w:cs="Times New Roman"/>
          <w:sz w:val="22"/>
          <w:szCs w:val="22"/>
        </w:rPr>
        <w:t xml:space="preserve">Todas as especificações do objeto contidas na proposta vinculam a Contratada. </w:t>
      </w:r>
    </w:p>
    <w:p w:rsidR="000F104D" w:rsidRPr="00A33734" w:rsidRDefault="007E1966"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Nos valores propostos estarão inclusos todos os custos operacionais, encargos previdenciários, trabalhistas, tributários, comerciais e quaisquer outros que incidam direta ou indiretamente na prestação dos serviços.</w:t>
      </w:r>
    </w:p>
    <w:p w:rsidR="00DF3D0B" w:rsidRPr="00A33734" w:rsidRDefault="00477AF3" w:rsidP="007857DA">
      <w:pPr>
        <w:numPr>
          <w:ilvl w:val="1"/>
          <w:numId w:val="1"/>
        </w:numPr>
        <w:spacing w:before="120" w:after="120" w:line="276" w:lineRule="auto"/>
        <w:ind w:left="0" w:firstLine="0"/>
        <w:jc w:val="both"/>
        <w:rPr>
          <w:rFonts w:cs="Times New Roman"/>
          <w:sz w:val="22"/>
          <w:szCs w:val="22"/>
        </w:rPr>
      </w:pPr>
      <w:r w:rsidRPr="00A33734">
        <w:rPr>
          <w:sz w:val="22"/>
          <w:szCs w:val="22"/>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DF3D0B" w:rsidRPr="00A33734">
        <w:rPr>
          <w:sz w:val="22"/>
          <w:szCs w:val="22"/>
        </w:rPr>
        <w:t>no art. 72 da Instrução Normativa/RFB Nº 971, de 13 de novembro de 2009 (DOU 17.11.2009).</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prazo de validade da proposta não será inferior a </w:t>
      </w:r>
      <w:r w:rsidR="000C3CC4" w:rsidRPr="00A33734">
        <w:rPr>
          <w:rFonts w:cs="Times New Roman"/>
          <w:sz w:val="22"/>
          <w:szCs w:val="22"/>
        </w:rPr>
        <w:t xml:space="preserve">60 </w:t>
      </w:r>
      <w:r w:rsidRPr="00A33734">
        <w:rPr>
          <w:rFonts w:cs="Times New Roman"/>
          <w:bCs/>
          <w:iCs/>
          <w:sz w:val="22"/>
          <w:szCs w:val="22"/>
        </w:rPr>
        <w:t>(</w:t>
      </w:r>
      <w:r w:rsidR="000C3CC4" w:rsidRPr="00A33734">
        <w:rPr>
          <w:rFonts w:cs="Times New Roman"/>
          <w:bCs/>
          <w:iCs/>
          <w:sz w:val="22"/>
          <w:szCs w:val="22"/>
        </w:rPr>
        <w:t>sessenta</w:t>
      </w:r>
      <w:r w:rsidRPr="00A33734">
        <w:rPr>
          <w:rFonts w:cs="Times New Roman"/>
          <w:bCs/>
          <w:iCs/>
          <w:sz w:val="22"/>
          <w:szCs w:val="22"/>
        </w:rPr>
        <w:t>) dias</w:t>
      </w:r>
      <w:r w:rsidR="000C3CC4" w:rsidRPr="00A33734">
        <w:rPr>
          <w:rFonts w:cs="Times New Roman"/>
          <w:bCs/>
          <w:iCs/>
          <w:sz w:val="22"/>
          <w:szCs w:val="22"/>
        </w:rPr>
        <w:t xml:space="preserve"> corridos</w:t>
      </w:r>
      <w:r w:rsidRPr="00A33734">
        <w:rPr>
          <w:rFonts w:cs="Times New Roman"/>
          <w:b/>
          <w:sz w:val="22"/>
          <w:szCs w:val="22"/>
        </w:rPr>
        <w:t>,</w:t>
      </w:r>
      <w:r w:rsidRPr="00A33734">
        <w:rPr>
          <w:rFonts w:cs="Times New Roman"/>
          <w:sz w:val="22"/>
          <w:szCs w:val="22"/>
        </w:rPr>
        <w:t xml:space="preserve"> a cont</w:t>
      </w:r>
      <w:r w:rsidR="00751E30" w:rsidRPr="00A33734">
        <w:rPr>
          <w:rFonts w:cs="Times New Roman"/>
          <w:sz w:val="22"/>
          <w:szCs w:val="22"/>
        </w:rPr>
        <w:t>ar da data de sua apresentação.</w:t>
      </w:r>
    </w:p>
    <w:p w:rsidR="00751E30" w:rsidRPr="00A33734" w:rsidRDefault="00751E30" w:rsidP="007857DA">
      <w:pPr>
        <w:spacing w:before="120" w:after="120" w:line="276" w:lineRule="auto"/>
        <w:jc w:val="both"/>
        <w:rPr>
          <w:rFonts w:cs="Times New Roman"/>
          <w:sz w:val="22"/>
          <w:szCs w:val="22"/>
        </w:rPr>
      </w:pPr>
    </w:p>
    <w:p w:rsidR="000F104D" w:rsidRPr="00A33734" w:rsidRDefault="000F104D" w:rsidP="007857DA">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DAS PROPOSTAS E FORMULAÇÃO DE LANCES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A abertura da presente licitação dar-se-á em sessão pública, por meio de sistema eletrônico, na data, horário e local indicados neste Edital.</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w:t>
      </w:r>
      <w:r w:rsidR="00E17E25" w:rsidRPr="00A33734">
        <w:rPr>
          <w:rFonts w:cs="Times New Roman"/>
          <w:sz w:val="22"/>
          <w:szCs w:val="22"/>
        </w:rPr>
        <w:t>Pregoeiro</w:t>
      </w:r>
      <w:r w:rsidRPr="00A33734">
        <w:rPr>
          <w:rFonts w:cs="Times New Roman"/>
          <w:sz w:val="22"/>
          <w:szCs w:val="22"/>
        </w:rPr>
        <w:t xml:space="preserve"> verificará as propostas apresentadas, desclassificando desde logo aquelas que não estejam em conformidade com os requisitos estabelecidos neste Edital, contenham vícios insanáveis ou não apresentem as </w:t>
      </w:r>
      <w:r w:rsidRPr="00A33734">
        <w:rPr>
          <w:rFonts w:cs="Times New Roman"/>
          <w:i/>
          <w:sz w:val="22"/>
          <w:szCs w:val="22"/>
        </w:rPr>
        <w:t>especificações técnicas exigidas</w:t>
      </w:r>
      <w:r w:rsidR="001F1E52" w:rsidRPr="00A33734">
        <w:rPr>
          <w:rFonts w:cs="Times New Roman"/>
          <w:i/>
          <w:sz w:val="22"/>
          <w:szCs w:val="22"/>
        </w:rPr>
        <w:t xml:space="preserve"> </w:t>
      </w:r>
      <w:r w:rsidRPr="00A33734">
        <w:rPr>
          <w:rFonts w:cs="Times New Roman"/>
          <w:i/>
          <w:sz w:val="22"/>
          <w:szCs w:val="22"/>
        </w:rPr>
        <w:t>no Termo de Referência</w:t>
      </w:r>
      <w:r w:rsidRPr="00A33734">
        <w:rPr>
          <w:rFonts w:cs="Times New Roman"/>
          <w:sz w:val="22"/>
          <w:szCs w:val="22"/>
        </w:rPr>
        <w:t xml:space="preserve">. </w:t>
      </w:r>
    </w:p>
    <w:p w:rsidR="000F104D" w:rsidRPr="00A33734" w:rsidRDefault="000F104D" w:rsidP="007857DA">
      <w:pPr>
        <w:numPr>
          <w:ilvl w:val="2"/>
          <w:numId w:val="1"/>
        </w:numPr>
        <w:tabs>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A desclassificação será sempre fundamentada e registrada no sistema, com acompanhamento em tempo real por todos os participantes.</w:t>
      </w:r>
    </w:p>
    <w:p w:rsidR="000F104D" w:rsidRPr="00A33734" w:rsidRDefault="000F104D" w:rsidP="007857DA">
      <w:pPr>
        <w:numPr>
          <w:ilvl w:val="2"/>
          <w:numId w:val="1"/>
        </w:numPr>
        <w:tabs>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A não desclassificação da proposta não impede o seu julgamento definitivo</w:t>
      </w:r>
      <w:r w:rsidR="002077E4" w:rsidRPr="00A33734">
        <w:rPr>
          <w:rFonts w:cs="Times New Roman"/>
          <w:sz w:val="22"/>
          <w:szCs w:val="22"/>
        </w:rPr>
        <w:t xml:space="preserve"> em sentido contrário</w:t>
      </w:r>
      <w:r w:rsidRPr="00A33734">
        <w:rPr>
          <w:rFonts w:cs="Times New Roman"/>
          <w:sz w:val="22"/>
          <w:szCs w:val="22"/>
        </w:rPr>
        <w:t>, levado a efeito na fase de aceitação.</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sistema ordenará automaticamente as propostas classificadas, sendo que somente estas participarão da fase de lances.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sistema disponibilizará campo próprio para troca de </w:t>
      </w:r>
      <w:r w:rsidR="005523D0" w:rsidRPr="00A33734">
        <w:rPr>
          <w:rFonts w:cs="Times New Roman"/>
          <w:sz w:val="22"/>
          <w:szCs w:val="22"/>
        </w:rPr>
        <w:t>mensagens</w:t>
      </w:r>
      <w:r w:rsidRPr="00A33734">
        <w:rPr>
          <w:rFonts w:cs="Times New Roman"/>
          <w:sz w:val="22"/>
          <w:szCs w:val="22"/>
        </w:rPr>
        <w:t xml:space="preserve"> entre o </w:t>
      </w:r>
      <w:r w:rsidR="00E17E25" w:rsidRPr="00A33734">
        <w:rPr>
          <w:rFonts w:cs="Times New Roman"/>
          <w:sz w:val="22"/>
          <w:szCs w:val="22"/>
        </w:rPr>
        <w:t>Pregoeiro</w:t>
      </w:r>
      <w:r w:rsidRPr="00A33734">
        <w:rPr>
          <w:rFonts w:cs="Times New Roman"/>
          <w:sz w:val="22"/>
          <w:szCs w:val="22"/>
        </w:rPr>
        <w:t xml:space="preserve"> e os licitantes.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A33734" w:rsidRDefault="000F104D" w:rsidP="007857DA">
      <w:pPr>
        <w:numPr>
          <w:ilvl w:val="2"/>
          <w:numId w:val="1"/>
        </w:numPr>
        <w:tabs>
          <w:tab w:val="left" w:pos="709"/>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O lance deverá ser ofertado pelo valor</w:t>
      </w:r>
      <w:r w:rsidR="000C3CC4" w:rsidRPr="00A33734">
        <w:rPr>
          <w:rFonts w:cs="Times New Roman"/>
          <w:sz w:val="22"/>
          <w:szCs w:val="22"/>
        </w:rPr>
        <w:t xml:space="preserve"> unitário </w:t>
      </w:r>
      <w:r w:rsidR="00520955" w:rsidRPr="00A33734">
        <w:rPr>
          <w:rFonts w:cs="Times New Roman"/>
          <w:sz w:val="22"/>
          <w:szCs w:val="22"/>
        </w:rPr>
        <w:t>do item</w:t>
      </w:r>
      <w:r w:rsidR="000C3CC4" w:rsidRPr="00A33734">
        <w:rPr>
          <w:rFonts w:cs="Times New Roman"/>
          <w:sz w:val="22"/>
          <w:szCs w:val="22"/>
        </w:rPr>
        <w:t>.</w:t>
      </w:r>
      <w:r w:rsidR="00F707A6" w:rsidRPr="00A33734">
        <w:rPr>
          <w:rFonts w:cs="Times New Roman"/>
          <w:sz w:val="22"/>
          <w:szCs w:val="22"/>
        </w:rPr>
        <w:t xml:space="preserve"> </w:t>
      </w:r>
    </w:p>
    <w:p w:rsidR="0036029D" w:rsidRPr="00A33734" w:rsidRDefault="00A546F6" w:rsidP="007857DA">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rPr>
        <w:t>Os licitantes poderão oferecer lances sucessivos, observando o horário fixado para abertura da sessão e as regras estabelecidas no Edital.</w:t>
      </w:r>
    </w:p>
    <w:p w:rsidR="00A546F6" w:rsidRPr="00A33734" w:rsidRDefault="00A546F6" w:rsidP="007857DA">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rPr>
        <w:lastRenderedPageBreak/>
        <w:t xml:space="preserve">O licitante somente poderá oferecer lance inferior ao último por ele ofertado e registrado pelo sistema. </w:t>
      </w:r>
    </w:p>
    <w:p w:rsidR="00D75B2C" w:rsidRPr="00A33734" w:rsidRDefault="00D75B2C"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Não serão aceitos dois ou mais lances de mesmo valor, prevalecendo aquele que for recebido e registrado em primeiro lugar. </w:t>
      </w:r>
    </w:p>
    <w:p w:rsidR="00D75B2C" w:rsidRPr="00A33734" w:rsidRDefault="00D75B2C"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Durante o transcurso da sessão pública, os licitantes serão informados, em tempo real, do valor do menor lance registrado, vedada a identificação do licitante. </w:t>
      </w:r>
    </w:p>
    <w:p w:rsidR="00D75B2C" w:rsidRPr="00A33734" w:rsidRDefault="00D75B2C"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No caso de desconexão com o Pregoeiro, no decorrer da etapa competitiva do Pregão, o sistema eletrônico poderá permanecer acessível aos licitantes para a recepção dos lances. </w:t>
      </w:r>
    </w:p>
    <w:p w:rsidR="00D75B2C" w:rsidRPr="00A33734" w:rsidRDefault="00D75B2C"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Se a desconexão perdurar por tempo superior a 10 (dez) minutos, a sessão será suspensa e terá reinício somente após comunicação expressa do Pregoeiro aos participantes. </w:t>
      </w:r>
    </w:p>
    <w:p w:rsidR="000F104D" w:rsidRPr="00A33734" w:rsidRDefault="000F104D" w:rsidP="007857DA">
      <w:pPr>
        <w:numPr>
          <w:ilvl w:val="1"/>
          <w:numId w:val="1"/>
        </w:numPr>
        <w:spacing w:before="120" w:after="120" w:line="276" w:lineRule="auto"/>
        <w:ind w:left="0" w:firstLine="0"/>
        <w:jc w:val="both"/>
        <w:rPr>
          <w:rFonts w:eastAsia="Zurich BT" w:cs="Times New Roman"/>
          <w:bCs/>
          <w:sz w:val="22"/>
          <w:szCs w:val="22"/>
        </w:rPr>
      </w:pPr>
      <w:r w:rsidRPr="00A33734">
        <w:rPr>
          <w:rFonts w:cs="Times New Roman"/>
          <w:sz w:val="22"/>
          <w:szCs w:val="22"/>
        </w:rPr>
        <w:t xml:space="preserve">A etapa de lances da sessão pública será encerrada por decisão do </w:t>
      </w:r>
      <w:r w:rsidR="00E17E25" w:rsidRPr="00A33734">
        <w:rPr>
          <w:rFonts w:cs="Times New Roman"/>
          <w:sz w:val="22"/>
          <w:szCs w:val="22"/>
        </w:rPr>
        <w:t>Pregoeiro</w:t>
      </w:r>
      <w:r w:rsidRPr="00A33734">
        <w:rPr>
          <w:rFonts w:cs="Times New Roman"/>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A33734" w:rsidRDefault="000F104D" w:rsidP="007857DA">
      <w:pPr>
        <w:numPr>
          <w:ilvl w:val="1"/>
          <w:numId w:val="1"/>
        </w:numPr>
        <w:spacing w:before="120" w:after="120" w:line="276" w:lineRule="auto"/>
        <w:ind w:left="0" w:firstLine="0"/>
        <w:jc w:val="both"/>
        <w:rPr>
          <w:rFonts w:eastAsia="Zurich BT" w:cs="Zurich BT"/>
          <w:bCs/>
          <w:sz w:val="22"/>
          <w:szCs w:val="22"/>
        </w:rPr>
      </w:pPr>
      <w:r w:rsidRPr="00A33734">
        <w:rPr>
          <w:rFonts w:cs="Times New Roman"/>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Eventual empate entre propostas, o critério de desempate será aquele previsto no art. 3º, § 2º, da Lei nº 8.666, de 1993, assegurando-se a preferência, sucessivamente, aos serviços:</w:t>
      </w:r>
    </w:p>
    <w:p w:rsidR="00D75B2C" w:rsidRPr="00A33734" w:rsidRDefault="00D75B2C" w:rsidP="007857DA">
      <w:pPr>
        <w:numPr>
          <w:ilvl w:val="2"/>
          <w:numId w:val="1"/>
        </w:numPr>
        <w:tabs>
          <w:tab w:val="left" w:pos="851"/>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Produzidos no País;</w:t>
      </w:r>
    </w:p>
    <w:p w:rsidR="000F104D" w:rsidRPr="00A33734" w:rsidRDefault="00D75B2C" w:rsidP="007857DA">
      <w:pPr>
        <w:numPr>
          <w:ilvl w:val="2"/>
          <w:numId w:val="1"/>
        </w:numPr>
        <w:tabs>
          <w:tab w:val="left" w:pos="851"/>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 xml:space="preserve">Produzidos ou </w:t>
      </w:r>
      <w:r w:rsidR="000F104D" w:rsidRPr="00A33734">
        <w:rPr>
          <w:rFonts w:cs="Times New Roman"/>
          <w:sz w:val="22"/>
          <w:szCs w:val="22"/>
        </w:rPr>
        <w:t xml:space="preserve">prestados por empresas brasileiras; </w:t>
      </w:r>
    </w:p>
    <w:p w:rsidR="000F104D" w:rsidRPr="00A33734" w:rsidRDefault="00D75B2C" w:rsidP="007857DA">
      <w:pPr>
        <w:numPr>
          <w:ilvl w:val="2"/>
          <w:numId w:val="1"/>
        </w:numPr>
        <w:tabs>
          <w:tab w:val="left" w:pos="851"/>
          <w:tab w:val="left" w:pos="1134"/>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 xml:space="preserve">Produzidos ou </w:t>
      </w:r>
      <w:r w:rsidR="000F104D" w:rsidRPr="00A33734">
        <w:rPr>
          <w:rFonts w:cs="Times New Roman"/>
          <w:sz w:val="22"/>
          <w:szCs w:val="22"/>
        </w:rPr>
        <w:t>prestados por empresas que invistam em pesquisa e no desenvolvimento de tecnologia no País.</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Persistindo o empate, o critério de desempate será o sorteio, em ato público para o qual os licitantes serão convocados, vedado qualquer outro processo.</w:t>
      </w:r>
    </w:p>
    <w:p w:rsidR="009D0AB9" w:rsidRPr="00A33734" w:rsidRDefault="009D0AB9" w:rsidP="007857DA">
      <w:pPr>
        <w:spacing w:before="120" w:after="120" w:line="276" w:lineRule="auto"/>
        <w:jc w:val="both"/>
        <w:rPr>
          <w:rFonts w:cs="Times New Roman"/>
          <w:sz w:val="22"/>
          <w:szCs w:val="22"/>
        </w:rPr>
      </w:pPr>
    </w:p>
    <w:p w:rsidR="00DF3D0B" w:rsidRPr="00A33734" w:rsidRDefault="000F104D" w:rsidP="007857DA">
      <w:pPr>
        <w:numPr>
          <w:ilvl w:val="0"/>
          <w:numId w:val="1"/>
        </w:numPr>
        <w:spacing w:before="120" w:after="120" w:line="276" w:lineRule="auto"/>
        <w:ind w:left="0" w:firstLine="0"/>
        <w:jc w:val="both"/>
        <w:rPr>
          <w:rFonts w:cs="Times New Roman"/>
          <w:b/>
          <w:bCs/>
          <w:sz w:val="22"/>
          <w:szCs w:val="22"/>
          <w:lang w:eastAsia="en-US"/>
        </w:rPr>
      </w:pPr>
      <w:r w:rsidRPr="00A33734">
        <w:rPr>
          <w:rFonts w:cs="Times New Roman"/>
          <w:b/>
          <w:bCs/>
          <w:sz w:val="22"/>
          <w:szCs w:val="22"/>
          <w:lang w:eastAsia="en-US"/>
        </w:rPr>
        <w:t>DA ACEIT</w:t>
      </w:r>
      <w:r w:rsidR="003239DD">
        <w:rPr>
          <w:rFonts w:cs="Times New Roman"/>
          <w:b/>
          <w:bCs/>
          <w:sz w:val="22"/>
          <w:szCs w:val="22"/>
          <w:lang w:eastAsia="en-US"/>
        </w:rPr>
        <w:t>ABILIDADE DA PROPOSTA VENCEDORA</w:t>
      </w:r>
    </w:p>
    <w:p w:rsidR="00DF3D0B" w:rsidRPr="00A33734" w:rsidRDefault="00DF3D0B" w:rsidP="007857DA">
      <w:pPr>
        <w:numPr>
          <w:ilvl w:val="1"/>
          <w:numId w:val="1"/>
        </w:numPr>
        <w:spacing w:before="120" w:after="120" w:line="276" w:lineRule="auto"/>
        <w:ind w:left="0" w:firstLine="0"/>
        <w:jc w:val="both"/>
        <w:rPr>
          <w:rFonts w:cs="Times New Roman"/>
          <w:sz w:val="22"/>
          <w:szCs w:val="22"/>
          <w:lang w:eastAsia="en-US"/>
        </w:rPr>
      </w:pPr>
      <w:r w:rsidRPr="00A33734">
        <w:rPr>
          <w:rFonts w:cs="Times New Roman"/>
          <w:sz w:val="22"/>
          <w:szCs w:val="22"/>
          <w:lang w:eastAsia="en-US"/>
        </w:rPr>
        <w:t>Encerrada a etapa de lances e depois da verificação de possível empate, o Pregoeiro examinará a proposta classificada</w:t>
      </w:r>
      <w:r w:rsidRPr="00A33734">
        <w:rPr>
          <w:rFonts w:eastAsiaTheme="minorEastAsia" w:cs="Times New Roman"/>
          <w:sz w:val="22"/>
          <w:szCs w:val="22"/>
          <w:lang w:eastAsia="en-US"/>
        </w:rPr>
        <w:t xml:space="preserve"> </w:t>
      </w:r>
      <w:r w:rsidRPr="00A33734">
        <w:rPr>
          <w:rFonts w:cs="Times New Roman"/>
          <w:sz w:val="22"/>
          <w:szCs w:val="22"/>
          <w:lang w:eastAsia="en-US"/>
        </w:rPr>
        <w:t>em primeiro lugar quanto ao preço, a sua exequibilidade, bem como quanto ao cumprimento das especificações do objeto.</w:t>
      </w:r>
    </w:p>
    <w:p w:rsidR="00DF3D0B" w:rsidRPr="00A33734" w:rsidRDefault="00DF3D0B" w:rsidP="007857DA">
      <w:pPr>
        <w:numPr>
          <w:ilvl w:val="1"/>
          <w:numId w:val="1"/>
        </w:numPr>
        <w:spacing w:before="120" w:after="120" w:line="276" w:lineRule="auto"/>
        <w:ind w:left="0" w:firstLine="0"/>
        <w:jc w:val="both"/>
        <w:rPr>
          <w:rFonts w:cs="Times New Roman"/>
          <w:bCs/>
          <w:sz w:val="22"/>
          <w:szCs w:val="22"/>
        </w:rPr>
      </w:pPr>
      <w:r w:rsidRPr="00A33734">
        <w:rPr>
          <w:rFonts w:cs="Times New Roman"/>
          <w:bCs/>
          <w:iCs/>
          <w:sz w:val="22"/>
          <w:szCs w:val="22"/>
        </w:rPr>
        <w:t xml:space="preserve">Será desclassificada a proposta ou o lance vencedor com valor superior ao preço máximo fixado, ou que apresentar preço manifestamente inexequível.  </w:t>
      </w:r>
    </w:p>
    <w:p w:rsidR="00DF3D0B" w:rsidRPr="00A33734" w:rsidRDefault="00DF3D0B" w:rsidP="007857DA">
      <w:pPr>
        <w:numPr>
          <w:ilvl w:val="1"/>
          <w:numId w:val="1"/>
        </w:numPr>
        <w:spacing w:before="120" w:after="120" w:line="276" w:lineRule="auto"/>
        <w:ind w:left="0" w:firstLine="0"/>
        <w:jc w:val="both"/>
        <w:rPr>
          <w:rFonts w:cs="Times New Roman"/>
          <w:sz w:val="22"/>
          <w:szCs w:val="22"/>
          <w:lang w:eastAsia="en-US"/>
        </w:rPr>
      </w:pPr>
      <w:r w:rsidRPr="00A33734">
        <w:rPr>
          <w:rFonts w:cs="Arial"/>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A33734" w:rsidRDefault="000F104D" w:rsidP="007857DA">
      <w:pPr>
        <w:numPr>
          <w:ilvl w:val="1"/>
          <w:numId w:val="1"/>
        </w:numPr>
        <w:spacing w:before="120" w:after="120" w:line="276" w:lineRule="auto"/>
        <w:ind w:left="0" w:firstLine="0"/>
        <w:jc w:val="both"/>
        <w:rPr>
          <w:rFonts w:cs="Times New Roman"/>
          <w:bCs/>
          <w:iCs/>
          <w:sz w:val="22"/>
          <w:szCs w:val="22"/>
        </w:rPr>
      </w:pPr>
      <w:r w:rsidRPr="00A33734">
        <w:rPr>
          <w:rFonts w:cs="Arial"/>
          <w:bCs/>
          <w:iCs/>
          <w:sz w:val="22"/>
          <w:szCs w:val="22"/>
        </w:rPr>
        <w:lastRenderedPageBreak/>
        <w:t>Se houver indícios de inexeq</w:t>
      </w:r>
      <w:r w:rsidR="00E17E25" w:rsidRPr="00A33734">
        <w:rPr>
          <w:rFonts w:cs="Arial"/>
          <w:bCs/>
          <w:iCs/>
          <w:sz w:val="22"/>
          <w:szCs w:val="22"/>
        </w:rPr>
        <w:t>u</w:t>
      </w:r>
      <w:r w:rsidRPr="00A33734">
        <w:rPr>
          <w:rFonts w:cs="Arial"/>
          <w:bCs/>
          <w:iCs/>
          <w:sz w:val="22"/>
          <w:szCs w:val="22"/>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A33734">
          <w:rPr>
            <w:rFonts w:cs="Arial"/>
            <w:bCs/>
            <w:iCs/>
            <w:sz w:val="22"/>
            <w:szCs w:val="22"/>
          </w:rPr>
          <w:t>1993, a</w:t>
        </w:r>
      </w:smartTag>
      <w:r w:rsidRPr="00A33734">
        <w:rPr>
          <w:rFonts w:cs="Arial"/>
          <w:bCs/>
          <w:iCs/>
          <w:sz w:val="22"/>
          <w:szCs w:val="22"/>
        </w:rPr>
        <w:t xml:space="preserve"> exemplo das enumeradas no §3º, do art. 29, da </w:t>
      </w:r>
      <w:r w:rsidRPr="00A33734">
        <w:rPr>
          <w:rFonts w:cs="Times New Roman"/>
          <w:sz w:val="22"/>
          <w:szCs w:val="22"/>
        </w:rPr>
        <w:t>IN SLTI/MPOG nº 2, de 2008</w:t>
      </w:r>
      <w:r w:rsidRPr="00A33734">
        <w:rPr>
          <w:rFonts w:cs="Arial"/>
          <w:bCs/>
          <w:iCs/>
          <w:sz w:val="22"/>
          <w:szCs w:val="22"/>
        </w:rPr>
        <w:t>.</w:t>
      </w:r>
    </w:p>
    <w:p w:rsidR="000F104D" w:rsidRPr="00A33734" w:rsidRDefault="007E1966" w:rsidP="007857DA">
      <w:pPr>
        <w:numPr>
          <w:ilvl w:val="1"/>
          <w:numId w:val="1"/>
        </w:numPr>
        <w:spacing w:before="120" w:after="120" w:line="276" w:lineRule="auto"/>
        <w:ind w:left="0" w:firstLine="0"/>
        <w:jc w:val="both"/>
        <w:rPr>
          <w:rFonts w:cs="Times New Roman"/>
          <w:bCs/>
          <w:iCs/>
          <w:sz w:val="22"/>
          <w:szCs w:val="22"/>
        </w:rPr>
      </w:pPr>
      <w:r w:rsidRPr="00A33734">
        <w:rPr>
          <w:rFonts w:cs="Arial"/>
          <w:bCs/>
          <w:iCs/>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A33734" w:rsidRDefault="000F104D" w:rsidP="007857DA">
      <w:pPr>
        <w:numPr>
          <w:ilvl w:val="1"/>
          <w:numId w:val="1"/>
        </w:numPr>
        <w:spacing w:before="120" w:after="120" w:line="276" w:lineRule="auto"/>
        <w:ind w:left="0" w:firstLine="0"/>
        <w:jc w:val="both"/>
        <w:rPr>
          <w:rFonts w:cs="Times New Roman"/>
          <w:bCs/>
          <w:iCs/>
          <w:sz w:val="22"/>
          <w:szCs w:val="22"/>
        </w:rPr>
      </w:pPr>
      <w:r w:rsidRPr="00A33734">
        <w:rPr>
          <w:rFonts w:cs="Arial"/>
          <w:bCs/>
          <w:iCs/>
          <w:sz w:val="22"/>
          <w:szCs w:val="22"/>
        </w:rPr>
        <w:t>Qualquer interessado poderá requerer que se realizem diligências para aferir a exequibilidade e a legalidade das propostas, devendo apresentar as provas ou os indícios que fundamentam a suspeita.</w:t>
      </w:r>
    </w:p>
    <w:p w:rsidR="000F104D" w:rsidRPr="00A33734" w:rsidRDefault="000F104D" w:rsidP="007857DA">
      <w:pPr>
        <w:numPr>
          <w:ilvl w:val="1"/>
          <w:numId w:val="1"/>
        </w:numPr>
        <w:spacing w:before="120" w:after="120" w:line="276" w:lineRule="auto"/>
        <w:ind w:left="0" w:firstLine="0"/>
        <w:jc w:val="both"/>
        <w:rPr>
          <w:rFonts w:cs="Arial"/>
          <w:bCs/>
          <w:iCs/>
          <w:sz w:val="22"/>
          <w:szCs w:val="22"/>
        </w:rPr>
      </w:pPr>
      <w:r w:rsidRPr="00A33734">
        <w:rPr>
          <w:rFonts w:cs="Times New Roman"/>
          <w:sz w:val="22"/>
          <w:szCs w:val="22"/>
          <w:lang w:eastAsia="en-US"/>
        </w:rPr>
        <w:t xml:space="preserve">O </w:t>
      </w:r>
      <w:r w:rsidR="00E17E25" w:rsidRPr="00A33734">
        <w:rPr>
          <w:rFonts w:cs="Times New Roman"/>
          <w:sz w:val="22"/>
          <w:szCs w:val="22"/>
          <w:lang w:eastAsia="en-US"/>
        </w:rPr>
        <w:t>Pregoeiro</w:t>
      </w:r>
      <w:r w:rsidRPr="00A33734">
        <w:rPr>
          <w:rFonts w:cs="Times New Roman"/>
          <w:sz w:val="22"/>
          <w:szCs w:val="22"/>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A33734" w:rsidRDefault="000F104D" w:rsidP="007857DA">
      <w:pPr>
        <w:numPr>
          <w:ilvl w:val="2"/>
          <w:numId w:val="1"/>
        </w:numPr>
        <w:tabs>
          <w:tab w:val="left" w:pos="567"/>
          <w:tab w:val="left" w:pos="1134"/>
        </w:tabs>
        <w:autoSpaceDE w:val="0"/>
        <w:snapToGrid w:val="0"/>
        <w:spacing w:before="120" w:after="120" w:line="276" w:lineRule="auto"/>
        <w:ind w:left="567" w:firstLine="0"/>
        <w:jc w:val="both"/>
        <w:rPr>
          <w:rFonts w:cs="Arial"/>
          <w:bCs/>
          <w:iCs/>
          <w:sz w:val="22"/>
          <w:szCs w:val="22"/>
        </w:rPr>
      </w:pPr>
      <w:r w:rsidRPr="00A33734">
        <w:rPr>
          <w:rFonts w:cs="Times New Roman"/>
          <w:sz w:val="22"/>
          <w:szCs w:val="22"/>
          <w:lang w:eastAsia="en-US"/>
        </w:rPr>
        <w:t xml:space="preserve">O prazo estabelecido pelo </w:t>
      </w:r>
      <w:r w:rsidR="00E17E25" w:rsidRPr="00A33734">
        <w:rPr>
          <w:rFonts w:cs="Times New Roman"/>
          <w:sz w:val="22"/>
          <w:szCs w:val="22"/>
          <w:lang w:eastAsia="en-US"/>
        </w:rPr>
        <w:t>Pregoeiro</w:t>
      </w:r>
      <w:r w:rsidRPr="00A33734">
        <w:rPr>
          <w:rFonts w:cs="Times New Roman"/>
          <w:sz w:val="22"/>
          <w:szCs w:val="22"/>
          <w:lang w:eastAsia="en-US"/>
        </w:rPr>
        <w:t xml:space="preserve"> poderá ser prorrogado por solicitação escrita e justificada do licitante, formulada antes de findo o prazo estabelecido, e formalmente aceita pelo </w:t>
      </w:r>
      <w:r w:rsidR="00E17E25" w:rsidRPr="00A33734">
        <w:rPr>
          <w:rFonts w:cs="Times New Roman"/>
          <w:sz w:val="22"/>
          <w:szCs w:val="22"/>
          <w:lang w:eastAsia="en-US"/>
        </w:rPr>
        <w:t>Pregoeiro</w:t>
      </w:r>
      <w:r w:rsidRPr="00A33734">
        <w:rPr>
          <w:rFonts w:cs="Times New Roman"/>
          <w:sz w:val="22"/>
          <w:szCs w:val="22"/>
          <w:lang w:eastAsia="en-US"/>
        </w:rPr>
        <w:t xml:space="preserve">. </w:t>
      </w:r>
    </w:p>
    <w:p w:rsidR="000F104D" w:rsidRPr="00A33734" w:rsidRDefault="000F104D" w:rsidP="007857DA">
      <w:pPr>
        <w:numPr>
          <w:ilvl w:val="1"/>
          <w:numId w:val="1"/>
        </w:numPr>
        <w:spacing w:before="120" w:after="120" w:line="276" w:lineRule="auto"/>
        <w:ind w:left="0" w:firstLine="0"/>
        <w:jc w:val="both"/>
        <w:rPr>
          <w:rFonts w:cs="Arial"/>
          <w:bCs/>
          <w:iCs/>
          <w:sz w:val="22"/>
          <w:szCs w:val="22"/>
        </w:rPr>
      </w:pPr>
      <w:r w:rsidRPr="00A33734">
        <w:rPr>
          <w:rFonts w:cs="Arial"/>
          <w:bCs/>
          <w:iCs/>
          <w:sz w:val="22"/>
          <w:szCs w:val="22"/>
        </w:rPr>
        <w:t>Se a proposta ou lance</w:t>
      </w:r>
      <w:r w:rsidR="006F0832" w:rsidRPr="00A33734">
        <w:rPr>
          <w:rFonts w:cs="Arial"/>
          <w:bCs/>
          <w:iCs/>
          <w:sz w:val="22"/>
          <w:szCs w:val="22"/>
        </w:rPr>
        <w:t xml:space="preserve"> vencedor for desclassificado</w:t>
      </w:r>
      <w:r w:rsidRPr="00A33734">
        <w:rPr>
          <w:rFonts w:cs="Arial"/>
          <w:bCs/>
          <w:iCs/>
          <w:sz w:val="22"/>
          <w:szCs w:val="22"/>
        </w:rPr>
        <w:t xml:space="preserve">, o </w:t>
      </w:r>
      <w:r w:rsidR="00E17E25" w:rsidRPr="00A33734">
        <w:rPr>
          <w:rFonts w:cs="Arial"/>
          <w:bCs/>
          <w:iCs/>
          <w:sz w:val="22"/>
          <w:szCs w:val="22"/>
        </w:rPr>
        <w:t>Pregoeiro</w:t>
      </w:r>
      <w:r w:rsidRPr="00A33734">
        <w:rPr>
          <w:rFonts w:cs="Arial"/>
          <w:bCs/>
          <w:iCs/>
          <w:sz w:val="22"/>
          <w:szCs w:val="22"/>
        </w:rPr>
        <w:t xml:space="preserve"> examinará a proposta ou lance subsequente, e, assim sucessivamente, na ordem de classificação.</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 xml:space="preserve">Havendo necessidade, o </w:t>
      </w:r>
      <w:r w:rsidR="00E17E25" w:rsidRPr="00A33734">
        <w:rPr>
          <w:rFonts w:cs="Times New Roman"/>
          <w:sz w:val="22"/>
          <w:szCs w:val="22"/>
          <w:lang w:eastAsia="en-US"/>
        </w:rPr>
        <w:t>Pregoeiro</w:t>
      </w:r>
      <w:r w:rsidRPr="00A33734">
        <w:rPr>
          <w:rFonts w:cs="Times New Roman"/>
          <w:sz w:val="22"/>
          <w:szCs w:val="22"/>
          <w:lang w:eastAsia="en-US"/>
        </w:rPr>
        <w:t xml:space="preserve"> suspenderá a sessão, informando no “</w:t>
      </w:r>
      <w:r w:rsidRPr="00A33734">
        <w:rPr>
          <w:rFonts w:cs="Times New Roman"/>
          <w:i/>
          <w:sz w:val="22"/>
          <w:szCs w:val="22"/>
          <w:lang w:eastAsia="en-US"/>
        </w:rPr>
        <w:t>chat</w:t>
      </w:r>
      <w:r w:rsidRPr="00A33734">
        <w:rPr>
          <w:rFonts w:cs="Times New Roman"/>
          <w:sz w:val="22"/>
          <w:szCs w:val="22"/>
          <w:lang w:eastAsia="en-US"/>
        </w:rPr>
        <w:t>” a nova data e horário para a continuidade da mesma.</w:t>
      </w:r>
    </w:p>
    <w:p w:rsidR="000F104D" w:rsidRPr="00A33734" w:rsidRDefault="000F104D" w:rsidP="007857DA">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w:t>
      </w:r>
      <w:r w:rsidR="00E17E25" w:rsidRPr="00A33734">
        <w:rPr>
          <w:rFonts w:cs="Times New Roman"/>
          <w:sz w:val="22"/>
          <w:szCs w:val="22"/>
        </w:rPr>
        <w:t>Pregoeiro</w:t>
      </w:r>
      <w:r w:rsidRPr="00A33734">
        <w:rPr>
          <w:rFonts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A33734" w:rsidRDefault="000F104D" w:rsidP="007857DA">
      <w:pPr>
        <w:numPr>
          <w:ilvl w:val="2"/>
          <w:numId w:val="1"/>
        </w:numPr>
        <w:tabs>
          <w:tab w:val="left" w:pos="1134"/>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 xml:space="preserve">Também nas hipóteses em que o </w:t>
      </w:r>
      <w:r w:rsidR="00E17E25" w:rsidRPr="00A33734">
        <w:rPr>
          <w:rFonts w:cs="Times New Roman"/>
          <w:sz w:val="22"/>
          <w:szCs w:val="22"/>
        </w:rPr>
        <w:t>Pregoeiro</w:t>
      </w:r>
      <w:r w:rsidRPr="00A33734">
        <w:rPr>
          <w:rFonts w:cs="Times New Roman"/>
          <w:sz w:val="22"/>
          <w:szCs w:val="22"/>
        </w:rPr>
        <w:t xml:space="preserve"> não aceitar a proposta e passar à subsequente, poderá negociar com o licitante para que seja obtido preço melhor.</w:t>
      </w:r>
    </w:p>
    <w:p w:rsidR="000F104D" w:rsidRPr="00A33734" w:rsidRDefault="000F104D" w:rsidP="007857DA">
      <w:pPr>
        <w:numPr>
          <w:ilvl w:val="2"/>
          <w:numId w:val="1"/>
        </w:numPr>
        <w:tabs>
          <w:tab w:val="left" w:pos="1134"/>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A negociação será realizada por meio do sistema, podendo ser acompanhada pelos demais licitantes.</w:t>
      </w:r>
    </w:p>
    <w:p w:rsidR="009D0AB9" w:rsidRPr="00A33734" w:rsidRDefault="009D0AB9" w:rsidP="007857DA">
      <w:pPr>
        <w:tabs>
          <w:tab w:val="left" w:pos="1440"/>
        </w:tabs>
        <w:autoSpaceDE w:val="0"/>
        <w:snapToGrid w:val="0"/>
        <w:spacing w:before="120" w:after="120" w:line="276" w:lineRule="auto"/>
        <w:jc w:val="both"/>
        <w:rPr>
          <w:rFonts w:cs="Times New Roman"/>
          <w:sz w:val="22"/>
          <w:szCs w:val="22"/>
        </w:rPr>
      </w:pPr>
    </w:p>
    <w:p w:rsidR="000F104D" w:rsidRPr="00A33734" w:rsidRDefault="000F104D" w:rsidP="007857DA">
      <w:pPr>
        <w:pStyle w:val="PargrafodaLista"/>
        <w:numPr>
          <w:ilvl w:val="0"/>
          <w:numId w:val="1"/>
        </w:numPr>
        <w:tabs>
          <w:tab w:val="left" w:pos="1440"/>
        </w:tabs>
        <w:autoSpaceDE w:val="0"/>
        <w:snapToGrid w:val="0"/>
        <w:spacing w:before="120" w:after="120" w:line="276" w:lineRule="auto"/>
        <w:jc w:val="both"/>
        <w:rPr>
          <w:rFonts w:cs="Times New Roman"/>
          <w:b/>
          <w:sz w:val="22"/>
          <w:szCs w:val="22"/>
        </w:rPr>
      </w:pPr>
      <w:r w:rsidRPr="00A33734">
        <w:rPr>
          <w:rFonts w:cs="Times New Roman"/>
          <w:b/>
          <w:sz w:val="22"/>
          <w:szCs w:val="22"/>
        </w:rPr>
        <w:t xml:space="preserve">DA HABILITAÇÃO </w:t>
      </w:r>
    </w:p>
    <w:p w:rsidR="005164D3" w:rsidRPr="00A33734" w:rsidRDefault="005164D3" w:rsidP="007857DA">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A33734">
        <w:rPr>
          <w:rFonts w:cs="Times New Roman"/>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5164D3" w:rsidRPr="00A33734" w:rsidRDefault="005164D3" w:rsidP="007857DA">
      <w:pPr>
        <w:numPr>
          <w:ilvl w:val="2"/>
          <w:numId w:val="1"/>
        </w:numPr>
        <w:tabs>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SICAF, CADIN e CADICON;</w:t>
      </w:r>
    </w:p>
    <w:p w:rsidR="005164D3" w:rsidRPr="00A33734" w:rsidRDefault="005164D3" w:rsidP="007857DA">
      <w:pPr>
        <w:numPr>
          <w:ilvl w:val="2"/>
          <w:numId w:val="1"/>
        </w:numPr>
        <w:tabs>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Cadastro Nacional de Empresas Inidôneas e Suspensas – CEIS, mantido pela Controladoria-Geral da União (</w:t>
      </w:r>
      <w:hyperlink r:id="rId9" w:history="1">
        <w:r w:rsidRPr="00A33734">
          <w:rPr>
            <w:rFonts w:cs="Times New Roman"/>
            <w:sz w:val="22"/>
            <w:szCs w:val="22"/>
          </w:rPr>
          <w:t>www.portaldatransparencia.gov.br/ceis</w:t>
        </w:r>
      </w:hyperlink>
      <w:r w:rsidRPr="00A33734">
        <w:rPr>
          <w:rFonts w:cs="Times New Roman"/>
          <w:sz w:val="22"/>
          <w:szCs w:val="22"/>
        </w:rPr>
        <w:t>);</w:t>
      </w:r>
    </w:p>
    <w:p w:rsidR="005164D3" w:rsidRPr="00A33734" w:rsidRDefault="005164D3" w:rsidP="007857DA">
      <w:pPr>
        <w:numPr>
          <w:ilvl w:val="2"/>
          <w:numId w:val="1"/>
        </w:numPr>
        <w:tabs>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Cadastro Nacional de Condenações Cíveis por Atos de Improbidade Administrativa, mantido pelo Conselho Nacional de Justiça (</w:t>
      </w:r>
      <w:hyperlink r:id="rId10" w:history="1">
        <w:r w:rsidRPr="00A33734">
          <w:rPr>
            <w:rFonts w:cs="Times New Roman"/>
            <w:sz w:val="22"/>
            <w:szCs w:val="22"/>
          </w:rPr>
          <w:t>www.cnj.jus.br/improbidade_adm/consultar_requerido.php</w:t>
        </w:r>
      </w:hyperlink>
      <w:r w:rsidRPr="00A33734">
        <w:rPr>
          <w:rFonts w:cs="Times New Roman"/>
          <w:sz w:val="22"/>
          <w:szCs w:val="22"/>
        </w:rPr>
        <w:t>);</w:t>
      </w:r>
    </w:p>
    <w:p w:rsidR="005164D3" w:rsidRPr="00A33734" w:rsidRDefault="005164D3" w:rsidP="007857DA">
      <w:pPr>
        <w:numPr>
          <w:ilvl w:val="2"/>
          <w:numId w:val="1"/>
        </w:numPr>
        <w:tabs>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164D3" w:rsidRPr="00A33734" w:rsidRDefault="005164D3" w:rsidP="007857DA">
      <w:pPr>
        <w:pStyle w:val="PargrafodaLista"/>
        <w:numPr>
          <w:ilvl w:val="2"/>
          <w:numId w:val="1"/>
        </w:numPr>
        <w:tabs>
          <w:tab w:val="left" w:pos="426"/>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Constatada a existência de sanção, o Pregoeiro reputará o licitante inabilitado, por falta de condição de participação.</w:t>
      </w:r>
    </w:p>
    <w:p w:rsidR="005164D3" w:rsidRPr="00A33734" w:rsidRDefault="005164D3" w:rsidP="007857DA">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A33734">
        <w:rPr>
          <w:rFonts w:cs="Times New Roman"/>
          <w:sz w:val="22"/>
          <w:szCs w:val="22"/>
        </w:rPr>
        <w:t>Ainda como condição prévia à habilitação, para os itens de participação exclusiva para ME/EPP/COOP, o Pregoeiro poderá consultar o Portal da Transparência do Governo Federal (</w:t>
      </w:r>
      <w:hyperlink r:id="rId11" w:history="1">
        <w:r w:rsidRPr="00A33734">
          <w:rPr>
            <w:rFonts w:cs="Times New Roman"/>
            <w:sz w:val="22"/>
            <w:szCs w:val="22"/>
          </w:rPr>
          <w:t>www.portaldatransparencia.gov.br</w:t>
        </w:r>
      </w:hyperlink>
      <w:r w:rsidRPr="00A33734">
        <w:rPr>
          <w:rFonts w:cs="Times New Roman"/>
          <w:sz w:val="22"/>
          <w:szCs w:val="22"/>
        </w:rPr>
        <w:t>), para verificação do somatório dos valores das ordens bancárias recebidas pelo licitante detentor da proposta classificada em primeiro lugar no exercício anterior ou corrente, conforme procedimento previsto na fase de aceitação e julgamento da proposta, caso ainda não o tenha realizado.</w:t>
      </w:r>
    </w:p>
    <w:p w:rsidR="005164D3" w:rsidRPr="00A33734" w:rsidRDefault="005164D3" w:rsidP="007857DA">
      <w:pPr>
        <w:pStyle w:val="PargrafodaLista"/>
        <w:numPr>
          <w:ilvl w:val="2"/>
          <w:numId w:val="1"/>
        </w:numPr>
        <w:tabs>
          <w:tab w:val="left" w:pos="709"/>
          <w:tab w:val="left" w:pos="1276"/>
        </w:tabs>
        <w:autoSpaceDE w:val="0"/>
        <w:snapToGrid w:val="0"/>
        <w:spacing w:before="120" w:after="120" w:line="276" w:lineRule="auto"/>
        <w:ind w:left="567" w:firstLine="0"/>
        <w:jc w:val="both"/>
        <w:rPr>
          <w:rFonts w:cs="Times New Roman"/>
          <w:sz w:val="22"/>
          <w:szCs w:val="22"/>
        </w:rPr>
      </w:pPr>
      <w:r w:rsidRPr="00A33734">
        <w:rPr>
          <w:rFonts w:cs="Times New Roman"/>
          <w:sz w:val="22"/>
          <w:szCs w:val="22"/>
        </w:rPr>
        <w:t>Constatada a ocorrência de qualquer das situações de extrapolamento do limite legal, o Pregoeiro indeferirá a aplicação do tratamento diferenciado em favor do licitante, conforme artigo 3°, §§ 9°, 9°-A, 10 e 12, da Lei Complementar n° 123, de 2006, com a consequente inabilitação, sem prejuízo das penalidades incidentes.</w:t>
      </w:r>
    </w:p>
    <w:p w:rsidR="005164D3" w:rsidRPr="00A33734" w:rsidRDefault="005164D3" w:rsidP="007857DA">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A33734">
        <w:rPr>
          <w:rFonts w:cs="Times New Roman"/>
          <w:sz w:val="22"/>
          <w:szCs w:val="22"/>
        </w:rPr>
        <w:t xml:space="preserve">Não ocorrendo inabilitação nos termos dos subitens deste Edital, o licitante detentor da proposta classificada em primeiro lugar deverá comprovar, no prazo máximo de 60 (sessenta) minutos, a contar da solicitação no sistema eletrônico, sua condição de habilitação, por meio do email: </w:t>
      </w:r>
      <w:hyperlink r:id="rId12" w:history="1">
        <w:r w:rsidRPr="00A33734">
          <w:rPr>
            <w:rFonts w:cs="Times New Roman"/>
            <w:sz w:val="22"/>
            <w:szCs w:val="22"/>
          </w:rPr>
          <w:t>cpl.coad@dpf.gov.br</w:t>
        </w:r>
      </w:hyperlink>
      <w:r w:rsidRPr="00A33734">
        <w:rPr>
          <w:rFonts w:cs="Times New Roman"/>
          <w:sz w:val="22"/>
          <w:szCs w:val="22"/>
        </w:rPr>
        <w:t>.</w:t>
      </w:r>
    </w:p>
    <w:p w:rsidR="005164D3" w:rsidRPr="00A33734" w:rsidRDefault="005164D3" w:rsidP="007857DA">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A33734">
        <w:rPr>
          <w:rFonts w:cs="Times New Roman"/>
          <w:sz w:val="22"/>
          <w:szCs w:val="22"/>
        </w:rPr>
        <w:t>Para a habilitação, o licitante deverá apresentar os documentos a seguir relacionados:</w:t>
      </w:r>
    </w:p>
    <w:p w:rsidR="005164D3" w:rsidRPr="00A33734" w:rsidRDefault="005164D3" w:rsidP="007857DA">
      <w:pPr>
        <w:numPr>
          <w:ilvl w:val="2"/>
          <w:numId w:val="1"/>
        </w:numPr>
        <w:tabs>
          <w:tab w:val="left" w:pos="1276"/>
        </w:tabs>
        <w:autoSpaceDE w:val="0"/>
        <w:snapToGrid w:val="0"/>
        <w:spacing w:before="120" w:after="120" w:line="276" w:lineRule="auto"/>
        <w:ind w:left="567" w:firstLine="0"/>
        <w:jc w:val="both"/>
        <w:rPr>
          <w:rFonts w:cs="Times New Roman"/>
          <w:sz w:val="22"/>
          <w:szCs w:val="22"/>
          <w:u w:val="single"/>
        </w:rPr>
      </w:pPr>
      <w:r w:rsidRPr="00A33734">
        <w:rPr>
          <w:rFonts w:cs="Times New Roman"/>
          <w:sz w:val="22"/>
          <w:szCs w:val="22"/>
          <w:u w:val="single"/>
        </w:rPr>
        <w:t>Relativos à Habilitação Jurídica:</w:t>
      </w:r>
    </w:p>
    <w:p w:rsidR="005164D3" w:rsidRPr="00A33734" w:rsidRDefault="005164D3" w:rsidP="007857DA">
      <w:pPr>
        <w:pStyle w:val="PargrafodaLista"/>
        <w:numPr>
          <w:ilvl w:val="3"/>
          <w:numId w:val="1"/>
        </w:numPr>
        <w:tabs>
          <w:tab w:val="left" w:pos="1440"/>
          <w:tab w:val="left" w:pos="1843"/>
          <w:tab w:val="left" w:pos="2268"/>
        </w:tabs>
        <w:autoSpaceDE w:val="0"/>
        <w:snapToGrid w:val="0"/>
        <w:spacing w:before="120" w:after="120" w:line="276" w:lineRule="auto"/>
        <w:ind w:left="993" w:firstLine="0"/>
        <w:jc w:val="both"/>
        <w:rPr>
          <w:rFonts w:cs="Times New Roman"/>
          <w:sz w:val="22"/>
          <w:szCs w:val="22"/>
        </w:rPr>
      </w:pPr>
      <w:r w:rsidRPr="00A33734">
        <w:rPr>
          <w:rFonts w:cs="Times New Roman"/>
          <w:sz w:val="22"/>
          <w:szCs w:val="22"/>
        </w:rPr>
        <w:t>No caso de empresário individual: inscrição no Registro Público de Empresas Mercantis, a cargo da Junta Comercial da respectiva sede;</w:t>
      </w:r>
    </w:p>
    <w:p w:rsidR="005164D3" w:rsidRPr="00A33734" w:rsidRDefault="005164D3" w:rsidP="007857DA">
      <w:pPr>
        <w:pStyle w:val="PargrafodaLista"/>
        <w:numPr>
          <w:ilvl w:val="3"/>
          <w:numId w:val="1"/>
        </w:numPr>
        <w:tabs>
          <w:tab w:val="left" w:pos="1440"/>
          <w:tab w:val="left" w:pos="1843"/>
          <w:tab w:val="left" w:pos="2268"/>
        </w:tabs>
        <w:autoSpaceDE w:val="0"/>
        <w:snapToGrid w:val="0"/>
        <w:spacing w:before="120" w:after="120" w:line="276" w:lineRule="auto"/>
        <w:ind w:left="993" w:firstLine="0"/>
        <w:jc w:val="both"/>
        <w:rPr>
          <w:rFonts w:cs="Times New Roman"/>
          <w:sz w:val="22"/>
          <w:szCs w:val="22"/>
        </w:rPr>
      </w:pPr>
      <w:r w:rsidRPr="00A33734">
        <w:rPr>
          <w:rFonts w:cs="Times New Roman"/>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164D3" w:rsidRPr="001E3F3E" w:rsidRDefault="005164D3" w:rsidP="001E3F3E">
      <w:pPr>
        <w:pStyle w:val="PargrafodaLista"/>
        <w:numPr>
          <w:ilvl w:val="4"/>
          <w:numId w:val="1"/>
        </w:numPr>
        <w:tabs>
          <w:tab w:val="left" w:pos="1276"/>
          <w:tab w:val="left" w:pos="2410"/>
          <w:tab w:val="left" w:pos="2694"/>
        </w:tabs>
        <w:autoSpaceDE w:val="0"/>
        <w:snapToGrid w:val="0"/>
        <w:spacing w:before="120" w:after="120" w:line="276" w:lineRule="auto"/>
        <w:ind w:left="1560" w:firstLine="0"/>
        <w:jc w:val="both"/>
        <w:rPr>
          <w:rFonts w:cs="Times New Roman"/>
          <w:sz w:val="22"/>
          <w:szCs w:val="22"/>
        </w:rPr>
      </w:pPr>
      <w:r w:rsidRPr="001E3F3E">
        <w:rPr>
          <w:rFonts w:cs="Times New Roman"/>
          <w:sz w:val="22"/>
          <w:szCs w:val="22"/>
        </w:rPr>
        <w:t>Os documentos acima deverão estar acompanhados de todas as alterações ou da consolidação respectiva.</w:t>
      </w:r>
    </w:p>
    <w:p w:rsidR="005164D3" w:rsidRPr="00A33734" w:rsidRDefault="005164D3" w:rsidP="007857DA">
      <w:pPr>
        <w:pStyle w:val="PargrafodaLista"/>
        <w:numPr>
          <w:ilvl w:val="3"/>
          <w:numId w:val="1"/>
        </w:numPr>
        <w:tabs>
          <w:tab w:val="left" w:pos="1440"/>
          <w:tab w:val="left" w:pos="1843"/>
        </w:tabs>
        <w:autoSpaceDE w:val="0"/>
        <w:snapToGrid w:val="0"/>
        <w:spacing w:before="120" w:after="120" w:line="276" w:lineRule="auto"/>
        <w:ind w:left="993" w:firstLine="0"/>
        <w:jc w:val="both"/>
        <w:rPr>
          <w:rFonts w:cs="Times New Roman"/>
          <w:sz w:val="22"/>
          <w:szCs w:val="22"/>
        </w:rPr>
      </w:pPr>
      <w:r w:rsidRPr="00A33734">
        <w:rPr>
          <w:rFonts w:cs="Times New Roman"/>
          <w:sz w:val="22"/>
          <w:szCs w:val="22"/>
        </w:rPr>
        <w:t>No caso de sociedade simples: inscrição do ato constitutivo no Registro Civil das Pessoas Jurídicas do local de sua sede, acompanhada de prova da indicação dos seus administradores;</w:t>
      </w:r>
    </w:p>
    <w:p w:rsidR="005164D3" w:rsidRDefault="005164D3" w:rsidP="007857DA">
      <w:pPr>
        <w:pStyle w:val="PargrafodaLista"/>
        <w:numPr>
          <w:ilvl w:val="3"/>
          <w:numId w:val="1"/>
        </w:numPr>
        <w:tabs>
          <w:tab w:val="left" w:pos="1440"/>
          <w:tab w:val="left" w:pos="1843"/>
        </w:tabs>
        <w:autoSpaceDE w:val="0"/>
        <w:snapToGrid w:val="0"/>
        <w:spacing w:before="120" w:after="120" w:line="276" w:lineRule="auto"/>
        <w:ind w:left="993" w:firstLine="0"/>
        <w:jc w:val="both"/>
        <w:rPr>
          <w:rFonts w:cs="Times New Roman"/>
          <w:sz w:val="22"/>
          <w:szCs w:val="22"/>
        </w:rPr>
      </w:pPr>
      <w:r w:rsidRPr="00A33734">
        <w:rPr>
          <w:rFonts w:cs="Times New Roman"/>
          <w:sz w:val="22"/>
          <w:szCs w:val="22"/>
        </w:rPr>
        <w:t>No caso de empresa ou sociedade estrangeira em funcionamento no País: decreto de autorização e ato de registro ou autorização para funcionamento</w:t>
      </w:r>
      <w:r w:rsidR="003239DD">
        <w:rPr>
          <w:rFonts w:cs="Times New Roman"/>
          <w:sz w:val="22"/>
          <w:szCs w:val="22"/>
        </w:rPr>
        <w:t xml:space="preserve"> expedido pelo órgão competente;</w:t>
      </w:r>
    </w:p>
    <w:p w:rsidR="003239DD" w:rsidRPr="003239DD" w:rsidRDefault="003239DD" w:rsidP="001E3F3E">
      <w:pPr>
        <w:pStyle w:val="PargrafodaLista"/>
        <w:numPr>
          <w:ilvl w:val="3"/>
          <w:numId w:val="1"/>
        </w:numPr>
        <w:tabs>
          <w:tab w:val="left" w:pos="1843"/>
        </w:tabs>
        <w:spacing w:before="120" w:after="120"/>
        <w:ind w:left="993" w:firstLine="0"/>
        <w:jc w:val="both"/>
        <w:rPr>
          <w:rFonts w:cs="Times New Roman"/>
          <w:sz w:val="22"/>
          <w:szCs w:val="22"/>
        </w:rPr>
      </w:pPr>
      <w:r w:rsidRPr="003239DD">
        <w:rPr>
          <w:rFonts w:cs="Times New Roman"/>
          <w:sz w:val="22"/>
          <w:szCs w:val="22"/>
        </w:rPr>
        <w:t>As microempresas ou empresas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239DD" w:rsidRPr="001E3F3E" w:rsidRDefault="003239DD" w:rsidP="001E3F3E">
      <w:pPr>
        <w:pStyle w:val="PargrafodaLista"/>
        <w:numPr>
          <w:ilvl w:val="3"/>
          <w:numId w:val="1"/>
        </w:numPr>
        <w:tabs>
          <w:tab w:val="left" w:pos="1843"/>
        </w:tabs>
        <w:spacing w:before="120" w:after="120"/>
        <w:ind w:left="993" w:firstLine="0"/>
        <w:jc w:val="both"/>
        <w:rPr>
          <w:rFonts w:cs="Times New Roman"/>
          <w:sz w:val="22"/>
          <w:szCs w:val="22"/>
        </w:rPr>
      </w:pPr>
      <w:r w:rsidRPr="001E3F3E">
        <w:rPr>
          <w:rFonts w:cs="Times New Roman"/>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w:t>
      </w:r>
      <w:r w:rsidR="001E3F3E">
        <w:rPr>
          <w:rFonts w:cs="Times New Roman"/>
          <w:sz w:val="22"/>
          <w:szCs w:val="22"/>
        </w:rPr>
        <w:t>º 5.764, de 1971.</w:t>
      </w:r>
    </w:p>
    <w:p w:rsidR="003239DD" w:rsidRPr="003239DD" w:rsidRDefault="003239DD" w:rsidP="003239DD">
      <w:pPr>
        <w:spacing w:before="120" w:after="120"/>
        <w:ind w:left="851"/>
        <w:jc w:val="both"/>
        <w:rPr>
          <w:rFonts w:ascii="Arial Narrow" w:hAnsi="Arial Narrow" w:cs="Arial"/>
          <w:color w:val="000000"/>
        </w:rPr>
      </w:pPr>
    </w:p>
    <w:p w:rsidR="005164D3" w:rsidRPr="001E3F3E" w:rsidRDefault="005164D3" w:rsidP="001E3F3E">
      <w:pPr>
        <w:pStyle w:val="PargrafodaLista"/>
        <w:numPr>
          <w:ilvl w:val="2"/>
          <w:numId w:val="1"/>
        </w:numPr>
        <w:tabs>
          <w:tab w:val="left" w:pos="1276"/>
        </w:tabs>
        <w:autoSpaceDE w:val="0"/>
        <w:snapToGrid w:val="0"/>
        <w:spacing w:before="120" w:after="120" w:line="276" w:lineRule="auto"/>
        <w:ind w:left="567" w:firstLine="0"/>
        <w:jc w:val="both"/>
        <w:rPr>
          <w:rFonts w:cs="Times New Roman"/>
          <w:sz w:val="22"/>
          <w:szCs w:val="22"/>
          <w:u w:val="single"/>
        </w:rPr>
      </w:pPr>
      <w:r w:rsidRPr="001E3F3E">
        <w:rPr>
          <w:rFonts w:cs="Times New Roman"/>
          <w:sz w:val="22"/>
          <w:szCs w:val="22"/>
          <w:u w:val="single"/>
        </w:rPr>
        <w:t>Relativos à Regularidade Fiscal e Trabalhista:</w:t>
      </w:r>
    </w:p>
    <w:p w:rsidR="005164D3" w:rsidRPr="001E3F3E" w:rsidRDefault="005164D3" w:rsidP="00007AB0">
      <w:pPr>
        <w:pStyle w:val="PargrafodaLista"/>
        <w:numPr>
          <w:ilvl w:val="3"/>
          <w:numId w:val="1"/>
        </w:numPr>
        <w:tabs>
          <w:tab w:val="left" w:pos="1276"/>
          <w:tab w:val="left" w:pos="1843"/>
        </w:tabs>
        <w:autoSpaceDE w:val="0"/>
        <w:snapToGrid w:val="0"/>
        <w:spacing w:before="120" w:after="120" w:line="276" w:lineRule="auto"/>
        <w:ind w:left="993" w:firstLine="0"/>
        <w:jc w:val="both"/>
        <w:rPr>
          <w:rFonts w:cs="Times New Roman"/>
          <w:sz w:val="22"/>
          <w:szCs w:val="22"/>
        </w:rPr>
      </w:pPr>
      <w:r w:rsidRPr="001E3F3E">
        <w:rPr>
          <w:rFonts w:cs="Times New Roman"/>
          <w:sz w:val="22"/>
          <w:szCs w:val="22"/>
        </w:rPr>
        <w:t>Prova de inscrição no Cadastro Nacional de Pessoas Jurídicas;</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inscrição no cadastro de contribuintes estadual ou distrital, relativo ao domicílio ou sede do licitante, pertinente ao seu ramo de atividade e compatível com o objeto contratual;</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regularidade com a Fazenda Federal, mediante certidão conjunta negativa de débitos, ou positiva com efeitos de negativa, relativos aos tributos federais e à Dívida Ativa da União;</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regularidade para com a Fazenda Estadual ou Distrital, do domicílio ou sede do licitante, pertinente ao seu ramo de atividade e compatível com o objeto contratual;</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regularidade relativa à Seguridade Social, mediante certidão negativa de débitos, ou positiva com efeitos de negativa, relativos às contribuições previdenciárias e às de terceiros;</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regularidade relativa ao Fundo de Garantia do Tempo de Serviço (FGTS), mediante Certificado de Regularidade do FGTS;</w:t>
      </w:r>
    </w:p>
    <w:p w:rsidR="005164D3" w:rsidRPr="00A33734" w:rsidRDefault="005164D3" w:rsidP="00431819">
      <w:pPr>
        <w:pStyle w:val="PargrafodaLista"/>
        <w:numPr>
          <w:ilvl w:val="3"/>
          <w:numId w:val="1"/>
        </w:numPr>
        <w:tabs>
          <w:tab w:val="left" w:pos="1440"/>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Prova de inexistência de débitos inadimplidos perante a Justiça do Trabalho, mediante Certidão Negativa de Débitos Trabalhistas (CNDT), ou certidão positiva com efeitos de negativa.</w:t>
      </w:r>
    </w:p>
    <w:p w:rsidR="005164D3" w:rsidRPr="00A33734" w:rsidRDefault="005164D3" w:rsidP="00431819">
      <w:pPr>
        <w:numPr>
          <w:ilvl w:val="2"/>
          <w:numId w:val="1"/>
        </w:numPr>
        <w:tabs>
          <w:tab w:val="left" w:pos="1276"/>
        </w:tabs>
        <w:autoSpaceDE w:val="0"/>
        <w:snapToGrid w:val="0"/>
        <w:spacing w:before="120" w:after="120" w:line="276" w:lineRule="auto"/>
        <w:ind w:left="567" w:firstLine="0"/>
        <w:jc w:val="both"/>
        <w:rPr>
          <w:rFonts w:cs="Times New Roman"/>
          <w:sz w:val="22"/>
          <w:szCs w:val="22"/>
          <w:u w:val="single"/>
        </w:rPr>
      </w:pPr>
      <w:r w:rsidRPr="00A33734">
        <w:rPr>
          <w:rFonts w:cs="Times New Roman"/>
          <w:sz w:val="22"/>
          <w:szCs w:val="22"/>
          <w:u w:val="single"/>
        </w:rPr>
        <w:t>Relativos à Qualificação Econômico-Financeira:</w:t>
      </w:r>
    </w:p>
    <w:p w:rsidR="005164D3" w:rsidRPr="00A33734" w:rsidRDefault="005164D3" w:rsidP="00431819">
      <w:pPr>
        <w:pStyle w:val="PargrafodaLista"/>
        <w:numPr>
          <w:ilvl w:val="3"/>
          <w:numId w:val="1"/>
        </w:numPr>
        <w:tabs>
          <w:tab w:val="left" w:pos="993"/>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90 (noventa) dias</w:t>
      </w:r>
      <w:r w:rsidR="0004584A" w:rsidRPr="00A33734">
        <w:rPr>
          <w:rFonts w:cs="Times New Roman"/>
          <w:sz w:val="22"/>
          <w:szCs w:val="22"/>
        </w:rPr>
        <w:t xml:space="preserve"> </w:t>
      </w:r>
      <w:r w:rsidRPr="00A33734">
        <w:rPr>
          <w:rFonts w:cs="Times New Roman"/>
          <w:sz w:val="22"/>
          <w:szCs w:val="22"/>
        </w:rPr>
        <w:t>contados da data da sua apresentação;</w:t>
      </w:r>
    </w:p>
    <w:p w:rsidR="005164D3" w:rsidRPr="00A33734" w:rsidRDefault="005164D3" w:rsidP="00431819">
      <w:pPr>
        <w:pStyle w:val="PargrafodaLista"/>
        <w:numPr>
          <w:ilvl w:val="3"/>
          <w:numId w:val="1"/>
        </w:numPr>
        <w:tabs>
          <w:tab w:val="left" w:pos="709"/>
          <w:tab w:val="left" w:pos="993"/>
          <w:tab w:val="left" w:pos="1843"/>
        </w:tabs>
        <w:autoSpaceDE w:val="0"/>
        <w:snapToGrid w:val="0"/>
        <w:spacing w:before="120" w:after="120" w:line="276" w:lineRule="auto"/>
        <w:ind w:left="993" w:hanging="12"/>
        <w:jc w:val="both"/>
        <w:rPr>
          <w:rFonts w:cs="Times New Roman"/>
          <w:sz w:val="22"/>
          <w:szCs w:val="22"/>
        </w:rPr>
      </w:pPr>
      <w:r w:rsidRPr="00A33734">
        <w:rPr>
          <w:rFonts w:cs="Times New Roman"/>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5164D3" w:rsidRPr="00A33734" w:rsidRDefault="005164D3" w:rsidP="00431819">
      <w:pPr>
        <w:pStyle w:val="PargrafodaLista"/>
        <w:numPr>
          <w:ilvl w:val="4"/>
          <w:numId w:val="1"/>
        </w:numPr>
        <w:tabs>
          <w:tab w:val="left" w:pos="1440"/>
          <w:tab w:val="left" w:pos="2268"/>
          <w:tab w:val="left" w:pos="2410"/>
        </w:tabs>
        <w:autoSpaceDE w:val="0"/>
        <w:snapToGrid w:val="0"/>
        <w:spacing w:before="120" w:after="120" w:line="276" w:lineRule="auto"/>
        <w:ind w:left="1276" w:firstLine="0"/>
        <w:jc w:val="both"/>
        <w:rPr>
          <w:rFonts w:cs="Times New Roman"/>
          <w:sz w:val="22"/>
          <w:szCs w:val="22"/>
        </w:rPr>
      </w:pPr>
      <w:r w:rsidRPr="00A33734">
        <w:rPr>
          <w:rFonts w:cs="Times New Roman"/>
          <w:sz w:val="22"/>
          <w:szCs w:val="22"/>
        </w:rPr>
        <w:t>O balanço patrimonial deverá estar assinado por contador ou por outro profissional equivalente, devidamente registrado no Conselho Regional de Contabilidade, e pelo responsável da empresa;</w:t>
      </w:r>
    </w:p>
    <w:p w:rsidR="005164D3" w:rsidRPr="00A33734" w:rsidRDefault="005164D3" w:rsidP="00431819">
      <w:pPr>
        <w:pStyle w:val="PargrafodaLista"/>
        <w:numPr>
          <w:ilvl w:val="4"/>
          <w:numId w:val="1"/>
        </w:numPr>
        <w:tabs>
          <w:tab w:val="left" w:pos="1440"/>
          <w:tab w:val="left" w:pos="2268"/>
          <w:tab w:val="left" w:pos="2410"/>
        </w:tabs>
        <w:autoSpaceDE w:val="0"/>
        <w:snapToGrid w:val="0"/>
        <w:spacing w:before="120" w:after="120" w:line="276" w:lineRule="auto"/>
        <w:ind w:left="1276" w:firstLine="0"/>
        <w:jc w:val="both"/>
        <w:rPr>
          <w:rFonts w:cs="Times New Roman"/>
          <w:sz w:val="22"/>
          <w:szCs w:val="22"/>
        </w:rPr>
      </w:pPr>
      <w:r w:rsidRPr="00A33734">
        <w:rPr>
          <w:rFonts w:cs="Times New Roman"/>
          <w:sz w:val="22"/>
          <w:szCs w:val="22"/>
        </w:rPr>
        <w:t>As empresas constituídas no exercício em curso deverão apresentar cópia do balanço de abertura;</w:t>
      </w:r>
    </w:p>
    <w:p w:rsidR="005164D3" w:rsidRPr="00A33734" w:rsidRDefault="005164D3" w:rsidP="00431819">
      <w:pPr>
        <w:pStyle w:val="PargrafodaLista"/>
        <w:numPr>
          <w:ilvl w:val="4"/>
          <w:numId w:val="1"/>
        </w:numPr>
        <w:tabs>
          <w:tab w:val="left" w:pos="1440"/>
          <w:tab w:val="left" w:pos="2268"/>
          <w:tab w:val="left" w:pos="2410"/>
        </w:tabs>
        <w:autoSpaceDE w:val="0"/>
        <w:snapToGrid w:val="0"/>
        <w:spacing w:before="120" w:after="120" w:line="276" w:lineRule="auto"/>
        <w:ind w:left="1276" w:firstLine="0"/>
        <w:jc w:val="both"/>
        <w:rPr>
          <w:rFonts w:cs="Times New Roman"/>
          <w:sz w:val="22"/>
          <w:szCs w:val="22"/>
        </w:rPr>
      </w:pPr>
      <w:r w:rsidRPr="00A33734">
        <w:rPr>
          <w:rFonts w:cs="Times New Roman"/>
          <w:sz w:val="22"/>
          <w:szCs w:val="22"/>
        </w:rPr>
        <w:t>No caso de licitação para fornecimento de bens para pronta entrega, não se exigirá da microempresa ou empresa de pequeno porte a apresentação de balanço patrimonial do último exercício social;</w:t>
      </w:r>
    </w:p>
    <w:p w:rsidR="005164D3" w:rsidRPr="00A33734" w:rsidRDefault="005164D3" w:rsidP="00431819">
      <w:pPr>
        <w:pStyle w:val="PargrafodaLista"/>
        <w:numPr>
          <w:ilvl w:val="4"/>
          <w:numId w:val="1"/>
        </w:numPr>
        <w:tabs>
          <w:tab w:val="left" w:pos="1440"/>
          <w:tab w:val="left" w:pos="2268"/>
          <w:tab w:val="left" w:pos="2410"/>
        </w:tabs>
        <w:autoSpaceDE w:val="0"/>
        <w:snapToGrid w:val="0"/>
        <w:spacing w:before="120" w:after="120" w:line="276" w:lineRule="auto"/>
        <w:ind w:left="1276" w:firstLine="0"/>
        <w:jc w:val="both"/>
        <w:rPr>
          <w:rFonts w:cs="Times New Roman"/>
          <w:sz w:val="22"/>
          <w:szCs w:val="22"/>
        </w:rPr>
      </w:pPr>
      <w:r w:rsidRPr="00A33734">
        <w:rPr>
          <w:rFonts w:cs="Times New Roman"/>
          <w:sz w:val="22"/>
          <w:szCs w:val="22"/>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5164D3" w:rsidRPr="00A33734" w:rsidRDefault="005164D3" w:rsidP="00431819">
      <w:pPr>
        <w:pStyle w:val="PargrafodaLista"/>
        <w:numPr>
          <w:ilvl w:val="4"/>
          <w:numId w:val="1"/>
        </w:numPr>
        <w:tabs>
          <w:tab w:val="left" w:pos="1440"/>
          <w:tab w:val="left" w:pos="2268"/>
          <w:tab w:val="left" w:pos="2410"/>
        </w:tabs>
        <w:autoSpaceDE w:val="0"/>
        <w:snapToGrid w:val="0"/>
        <w:spacing w:before="120" w:after="120" w:line="276" w:lineRule="auto"/>
        <w:ind w:left="1276" w:firstLine="0"/>
        <w:jc w:val="both"/>
        <w:rPr>
          <w:rFonts w:cs="Times New Roman"/>
          <w:sz w:val="22"/>
          <w:szCs w:val="22"/>
        </w:rPr>
      </w:pPr>
      <w:r w:rsidRPr="00A33734">
        <w:rPr>
          <w:rFonts w:cs="Times New Roman"/>
          <w:sz w:val="22"/>
          <w:szCs w:val="22"/>
        </w:rPr>
        <w:t xml:space="preserve">A boa situação financeira do licitante será avaliada pelos Índices de Liquidez Geral (LG), Solvência Geral (SG) e Liquidez Corrente (LC), maiores que 1 (um), resultantes da aplicação das fórmulas abaixo, com os valores extraídos </w:t>
      </w:r>
      <w:r w:rsidRPr="00A33734">
        <w:rPr>
          <w:rFonts w:cs="Times New Roman"/>
          <w:sz w:val="22"/>
          <w:szCs w:val="22"/>
        </w:rPr>
        <w:lastRenderedPageBreak/>
        <w:t>de seu balanço patrimonial ou apurados mediante consulta online, no caso de empresas inscritas no SICAF:</w:t>
      </w:r>
    </w:p>
    <w:tbl>
      <w:tblPr>
        <w:tblW w:w="0" w:type="auto"/>
        <w:tblInd w:w="392" w:type="dxa"/>
        <w:tblBorders>
          <w:insideH w:val="single" w:sz="4" w:space="0" w:color="000000"/>
        </w:tblBorders>
        <w:tblLook w:val="04A0" w:firstRow="1" w:lastRow="0" w:firstColumn="1" w:lastColumn="0" w:noHBand="0" w:noVBand="1"/>
      </w:tblPr>
      <w:tblGrid>
        <w:gridCol w:w="1894"/>
        <w:gridCol w:w="5772"/>
      </w:tblGrid>
      <w:tr w:rsidR="005164D3" w:rsidRPr="00A33734" w:rsidTr="0004584A">
        <w:tc>
          <w:tcPr>
            <w:tcW w:w="1894" w:type="dxa"/>
            <w:vMerge w:val="restart"/>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LG =</w:t>
            </w:r>
          </w:p>
        </w:tc>
        <w:tc>
          <w:tcPr>
            <w:tcW w:w="0" w:type="auto"/>
            <w:tcBorders>
              <w:top w:val="nil"/>
              <w:left w:val="nil"/>
              <w:bottom w:val="single" w:sz="4" w:space="0" w:color="000000"/>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rPr>
                <w:rFonts w:cs="Times New Roman"/>
                <w:sz w:val="22"/>
                <w:szCs w:val="22"/>
              </w:rPr>
            </w:pPr>
            <w:r w:rsidRPr="00A33734">
              <w:rPr>
                <w:rFonts w:cs="Times New Roman"/>
                <w:sz w:val="22"/>
                <w:szCs w:val="22"/>
              </w:rPr>
              <w:t>Ativo Circulante + Realizável a Longo Prazo</w:t>
            </w:r>
          </w:p>
        </w:tc>
      </w:tr>
      <w:tr w:rsidR="005164D3" w:rsidRPr="00A33734" w:rsidTr="0004584A">
        <w:tc>
          <w:tcPr>
            <w:tcW w:w="1894" w:type="dxa"/>
            <w:vMerge/>
            <w:vAlign w:val="center"/>
            <w:hideMark/>
          </w:tcPr>
          <w:p w:rsidR="005164D3" w:rsidRPr="00A33734" w:rsidRDefault="005164D3" w:rsidP="00431819">
            <w:pPr>
              <w:numPr>
                <w:ilvl w:val="2"/>
                <w:numId w:val="1"/>
              </w:numPr>
              <w:tabs>
                <w:tab w:val="left" w:pos="1440"/>
                <w:tab w:val="left" w:pos="2268"/>
              </w:tabs>
              <w:autoSpaceDE w:val="0"/>
              <w:snapToGrid w:val="0"/>
              <w:spacing w:before="120" w:after="120" w:line="276" w:lineRule="auto"/>
              <w:ind w:left="1276" w:firstLine="0"/>
              <w:jc w:val="center"/>
              <w:rPr>
                <w:rFonts w:cs="Times New Roman"/>
                <w:sz w:val="22"/>
                <w:szCs w:val="22"/>
              </w:rPr>
            </w:pPr>
          </w:p>
        </w:tc>
        <w:tc>
          <w:tcPr>
            <w:tcW w:w="0" w:type="auto"/>
            <w:tcBorders>
              <w:top w:val="single" w:sz="4" w:space="0" w:color="000000"/>
              <w:left w:val="nil"/>
              <w:bottom w:val="nil"/>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Passivo Circulante + Passivo Não Circulante</w:t>
            </w:r>
          </w:p>
        </w:tc>
      </w:tr>
    </w:tbl>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p>
    <w:tbl>
      <w:tblPr>
        <w:tblW w:w="0" w:type="auto"/>
        <w:tblInd w:w="392" w:type="dxa"/>
        <w:tblBorders>
          <w:insideH w:val="single" w:sz="4" w:space="0" w:color="000000"/>
        </w:tblBorders>
        <w:tblLook w:val="04A0" w:firstRow="1" w:lastRow="0" w:firstColumn="1" w:lastColumn="0" w:noHBand="0" w:noVBand="1"/>
      </w:tblPr>
      <w:tblGrid>
        <w:gridCol w:w="1929"/>
        <w:gridCol w:w="5757"/>
      </w:tblGrid>
      <w:tr w:rsidR="005164D3" w:rsidRPr="00A33734" w:rsidTr="0004584A">
        <w:tc>
          <w:tcPr>
            <w:tcW w:w="0" w:type="auto"/>
            <w:vMerge w:val="restart"/>
            <w:vAlign w:val="center"/>
            <w:hideMark/>
          </w:tcPr>
          <w:p w:rsidR="005164D3" w:rsidRPr="00A33734" w:rsidRDefault="005164D3" w:rsidP="007857DA">
            <w:pPr>
              <w:tabs>
                <w:tab w:val="left" w:pos="0"/>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SG =</w:t>
            </w:r>
          </w:p>
        </w:tc>
        <w:tc>
          <w:tcPr>
            <w:tcW w:w="0" w:type="auto"/>
            <w:tcBorders>
              <w:top w:val="nil"/>
              <w:left w:val="nil"/>
              <w:bottom w:val="single" w:sz="4" w:space="0" w:color="000000"/>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Ativo Total</w:t>
            </w:r>
          </w:p>
        </w:tc>
      </w:tr>
      <w:tr w:rsidR="005164D3" w:rsidRPr="00A33734" w:rsidTr="0004584A">
        <w:tc>
          <w:tcPr>
            <w:tcW w:w="0" w:type="auto"/>
            <w:vMerge/>
            <w:vAlign w:val="center"/>
            <w:hideMark/>
          </w:tcPr>
          <w:p w:rsidR="005164D3" w:rsidRPr="00A33734" w:rsidRDefault="005164D3" w:rsidP="00431819">
            <w:pPr>
              <w:numPr>
                <w:ilvl w:val="2"/>
                <w:numId w:val="1"/>
              </w:numPr>
              <w:tabs>
                <w:tab w:val="left" w:pos="1440"/>
                <w:tab w:val="left" w:pos="2268"/>
              </w:tabs>
              <w:autoSpaceDE w:val="0"/>
              <w:snapToGrid w:val="0"/>
              <w:spacing w:before="120" w:after="120" w:line="276" w:lineRule="auto"/>
              <w:ind w:left="1276" w:firstLine="0"/>
              <w:jc w:val="center"/>
              <w:rPr>
                <w:rFonts w:cs="Times New Roman"/>
                <w:sz w:val="22"/>
                <w:szCs w:val="22"/>
              </w:rPr>
            </w:pPr>
          </w:p>
        </w:tc>
        <w:tc>
          <w:tcPr>
            <w:tcW w:w="0" w:type="auto"/>
            <w:tcBorders>
              <w:top w:val="single" w:sz="4" w:space="0" w:color="000000"/>
              <w:left w:val="nil"/>
              <w:bottom w:val="nil"/>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Passivo Circulante + Passivo Não Circulante</w:t>
            </w:r>
          </w:p>
        </w:tc>
      </w:tr>
    </w:tbl>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p>
    <w:tbl>
      <w:tblPr>
        <w:tblW w:w="0" w:type="auto"/>
        <w:tblInd w:w="392" w:type="dxa"/>
        <w:tblBorders>
          <w:insideH w:val="single" w:sz="4" w:space="0" w:color="000000"/>
        </w:tblBorders>
        <w:tblLook w:val="04A0" w:firstRow="1" w:lastRow="0" w:firstColumn="1" w:lastColumn="0" w:noHBand="0" w:noVBand="1"/>
      </w:tblPr>
      <w:tblGrid>
        <w:gridCol w:w="1917"/>
        <w:gridCol w:w="3281"/>
      </w:tblGrid>
      <w:tr w:rsidR="005164D3" w:rsidRPr="00A33734" w:rsidTr="0004584A">
        <w:tc>
          <w:tcPr>
            <w:tcW w:w="0" w:type="auto"/>
            <w:vMerge w:val="restart"/>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LC =</w:t>
            </w:r>
          </w:p>
        </w:tc>
        <w:tc>
          <w:tcPr>
            <w:tcW w:w="0" w:type="auto"/>
            <w:tcBorders>
              <w:top w:val="nil"/>
              <w:left w:val="nil"/>
              <w:bottom w:val="single" w:sz="4" w:space="0" w:color="000000"/>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Ativo Circulante</w:t>
            </w:r>
          </w:p>
        </w:tc>
      </w:tr>
      <w:tr w:rsidR="005164D3" w:rsidRPr="00A33734" w:rsidTr="0004584A">
        <w:tc>
          <w:tcPr>
            <w:tcW w:w="0" w:type="auto"/>
            <w:vMerge/>
            <w:vAlign w:val="center"/>
            <w:hideMark/>
          </w:tcPr>
          <w:p w:rsidR="005164D3" w:rsidRPr="00A33734" w:rsidRDefault="005164D3" w:rsidP="00431819">
            <w:pPr>
              <w:numPr>
                <w:ilvl w:val="2"/>
                <w:numId w:val="1"/>
              </w:numPr>
              <w:tabs>
                <w:tab w:val="left" w:pos="1440"/>
                <w:tab w:val="left" w:pos="2268"/>
              </w:tabs>
              <w:autoSpaceDE w:val="0"/>
              <w:snapToGrid w:val="0"/>
              <w:spacing w:before="120" w:after="120" w:line="276" w:lineRule="auto"/>
              <w:ind w:left="1276" w:firstLine="0"/>
              <w:jc w:val="center"/>
              <w:rPr>
                <w:rFonts w:cs="Times New Roman"/>
                <w:sz w:val="22"/>
                <w:szCs w:val="22"/>
              </w:rPr>
            </w:pPr>
          </w:p>
        </w:tc>
        <w:tc>
          <w:tcPr>
            <w:tcW w:w="0" w:type="auto"/>
            <w:tcBorders>
              <w:top w:val="single" w:sz="4" w:space="0" w:color="000000"/>
              <w:left w:val="nil"/>
              <w:bottom w:val="nil"/>
              <w:right w:val="nil"/>
            </w:tcBorders>
            <w:vAlign w:val="center"/>
            <w:hideMark/>
          </w:tcPr>
          <w:p w:rsidR="005164D3" w:rsidRPr="00A33734" w:rsidRDefault="005164D3" w:rsidP="007857DA">
            <w:pPr>
              <w:tabs>
                <w:tab w:val="left" w:pos="1440"/>
                <w:tab w:val="left" w:pos="2268"/>
              </w:tabs>
              <w:autoSpaceDE w:val="0"/>
              <w:snapToGrid w:val="0"/>
              <w:spacing w:before="120" w:after="120" w:line="276" w:lineRule="auto"/>
              <w:ind w:left="1276"/>
              <w:jc w:val="center"/>
              <w:rPr>
                <w:rFonts w:cs="Times New Roman"/>
                <w:sz w:val="22"/>
                <w:szCs w:val="22"/>
              </w:rPr>
            </w:pPr>
            <w:r w:rsidRPr="00A33734">
              <w:rPr>
                <w:rFonts w:cs="Times New Roman"/>
                <w:sz w:val="22"/>
                <w:szCs w:val="22"/>
              </w:rPr>
              <w:t>Passivo Circulante</w:t>
            </w:r>
          </w:p>
        </w:tc>
      </w:tr>
    </w:tbl>
    <w:p w:rsidR="005164D3" w:rsidRPr="00A33734" w:rsidRDefault="005164D3" w:rsidP="007857DA">
      <w:pPr>
        <w:tabs>
          <w:tab w:val="left" w:pos="1440"/>
          <w:tab w:val="left" w:pos="2268"/>
        </w:tabs>
        <w:autoSpaceDE w:val="0"/>
        <w:snapToGrid w:val="0"/>
        <w:spacing w:before="120" w:after="120" w:line="276" w:lineRule="auto"/>
        <w:ind w:left="1276"/>
        <w:jc w:val="both"/>
        <w:rPr>
          <w:rFonts w:cs="Times New Roman"/>
          <w:sz w:val="22"/>
          <w:szCs w:val="22"/>
        </w:rPr>
      </w:pPr>
    </w:p>
    <w:p w:rsidR="005164D3" w:rsidRPr="00A33734" w:rsidRDefault="001E3F3E" w:rsidP="001E3F3E">
      <w:pPr>
        <w:tabs>
          <w:tab w:val="left" w:pos="1440"/>
          <w:tab w:val="left" w:pos="2268"/>
          <w:tab w:val="left" w:pos="2410"/>
        </w:tabs>
        <w:autoSpaceDE w:val="0"/>
        <w:snapToGrid w:val="0"/>
        <w:spacing w:before="120" w:after="120" w:line="276" w:lineRule="auto"/>
        <w:ind w:left="1276"/>
        <w:jc w:val="both"/>
        <w:rPr>
          <w:rFonts w:cs="Times New Roman"/>
          <w:sz w:val="22"/>
          <w:szCs w:val="22"/>
        </w:rPr>
      </w:pPr>
      <w:r w:rsidRPr="001E3F3E">
        <w:rPr>
          <w:rFonts w:cs="Times New Roman"/>
          <w:b/>
          <w:sz w:val="22"/>
          <w:szCs w:val="22"/>
        </w:rPr>
        <w:t>9.4.3.2.6.</w:t>
      </w:r>
      <w:r>
        <w:rPr>
          <w:rFonts w:cs="Times New Roman"/>
          <w:sz w:val="22"/>
          <w:szCs w:val="22"/>
        </w:rPr>
        <w:t xml:space="preserve"> </w:t>
      </w:r>
      <w:r w:rsidR="005164D3" w:rsidRPr="00A33734">
        <w:rPr>
          <w:rFonts w:cs="Times New Roman"/>
          <w:sz w:val="22"/>
          <w:szCs w:val="22"/>
        </w:rPr>
        <w:t>O licitante que apresentar índices econômicos iguais ou inferiores a 1 (um) em qualquer dos índices de Liquidez Geral, Solvência Geral e Liquidez Corrente deverá comprovar que possui patrimônio líquido mínimo de 10% (dez por cento) do valor total estimado do item pertinente.</w:t>
      </w:r>
    </w:p>
    <w:p w:rsidR="005164D3" w:rsidRPr="001E3F3E" w:rsidRDefault="005164D3" w:rsidP="00F45734">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1E3F3E">
        <w:rPr>
          <w:rFonts w:cs="Times New Roman"/>
          <w:sz w:val="22"/>
          <w:szCs w:val="22"/>
        </w:rPr>
        <w:t>O licitante que já estiver cadastrado no SICAF, em situação regular, ficará dispensado de apresentar os documentos comprobatórios abrangidos pelo referido cadastro que estejam validados e atualizados.</w:t>
      </w:r>
    </w:p>
    <w:p w:rsidR="005164D3" w:rsidRPr="00A33734" w:rsidRDefault="005164D3" w:rsidP="00431819">
      <w:pPr>
        <w:pStyle w:val="PargrafodaLista"/>
        <w:numPr>
          <w:ilvl w:val="2"/>
          <w:numId w:val="1"/>
        </w:numPr>
        <w:tabs>
          <w:tab w:val="left" w:pos="142"/>
          <w:tab w:val="left" w:pos="1276"/>
          <w:tab w:val="left" w:pos="1440"/>
        </w:tabs>
        <w:autoSpaceDE w:val="0"/>
        <w:snapToGrid w:val="0"/>
        <w:spacing w:before="120" w:after="120" w:line="276" w:lineRule="auto"/>
        <w:ind w:left="567" w:hanging="11"/>
        <w:jc w:val="both"/>
        <w:rPr>
          <w:rFonts w:cs="Times New Roman"/>
          <w:sz w:val="22"/>
          <w:szCs w:val="22"/>
        </w:rPr>
      </w:pPr>
      <w:r w:rsidRPr="00A33734">
        <w:rPr>
          <w:rFonts w:cs="Times New Roman"/>
          <w:sz w:val="22"/>
          <w:szCs w:val="22"/>
        </w:rPr>
        <w:t>A verificação se dará mediante consulta online, realizada pelo Pregoeiro, devendo o resultado ser impresso e anexado ao processo.</w:t>
      </w:r>
    </w:p>
    <w:p w:rsidR="005164D3" w:rsidRPr="00A33734" w:rsidRDefault="005164D3" w:rsidP="00431819">
      <w:pPr>
        <w:pStyle w:val="PargrafodaLista"/>
        <w:numPr>
          <w:ilvl w:val="2"/>
          <w:numId w:val="1"/>
        </w:numPr>
        <w:tabs>
          <w:tab w:val="left" w:pos="1440"/>
        </w:tabs>
        <w:autoSpaceDE w:val="0"/>
        <w:snapToGrid w:val="0"/>
        <w:spacing w:before="120" w:after="120" w:line="276" w:lineRule="auto"/>
        <w:ind w:left="567" w:hanging="11"/>
        <w:jc w:val="both"/>
        <w:rPr>
          <w:rFonts w:cs="Times New Roman"/>
          <w:sz w:val="22"/>
          <w:szCs w:val="22"/>
        </w:rPr>
      </w:pPr>
      <w:r w:rsidRPr="00A33734">
        <w:rPr>
          <w:rFonts w:cs="Times New Roman"/>
          <w:sz w:val="22"/>
          <w:szCs w:val="22"/>
        </w:rPr>
        <w:t>Na hipótese de algum documento que já conste do SICAF estar com o seu prazo de validade vencido, e caso o Pregoeiro não logre êxito em obter a certidão correspondente através do sítio oficial, o licitante será advertido a encaminhar, no prazo de 02 (duas) horas, documento válido que comprove o atendimento às exigências deste Edital, sob pena de inabilitação.</w:t>
      </w:r>
    </w:p>
    <w:p w:rsidR="005164D3" w:rsidRPr="00A33734" w:rsidRDefault="005164D3" w:rsidP="00431819">
      <w:pPr>
        <w:numPr>
          <w:ilvl w:val="2"/>
          <w:numId w:val="1"/>
        </w:numPr>
        <w:tabs>
          <w:tab w:val="left" w:pos="1440"/>
        </w:tabs>
        <w:autoSpaceDE w:val="0"/>
        <w:snapToGrid w:val="0"/>
        <w:spacing w:before="120" w:after="120" w:line="276" w:lineRule="auto"/>
        <w:ind w:left="567" w:hanging="11"/>
        <w:jc w:val="both"/>
        <w:rPr>
          <w:rFonts w:cs="Times New Roman"/>
          <w:sz w:val="22"/>
          <w:szCs w:val="22"/>
        </w:rPr>
      </w:pPr>
      <w:r w:rsidRPr="00A33734">
        <w:rPr>
          <w:rFonts w:cs="Times New Roman"/>
          <w:sz w:val="22"/>
          <w:szCs w:val="22"/>
        </w:rPr>
        <w:t>O licitante obriga-se a declarar, sob as penalidades legais, a superveniência de fato impeditivo da habilitação.</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hanging="11"/>
        <w:jc w:val="both"/>
        <w:rPr>
          <w:rFonts w:cs="Times New Roman"/>
          <w:sz w:val="22"/>
          <w:szCs w:val="22"/>
        </w:rPr>
      </w:pPr>
      <w:r w:rsidRPr="00A33734">
        <w:rPr>
          <w:rFonts w:cs="Times New Roman"/>
          <w:sz w:val="22"/>
          <w:szCs w:val="22"/>
        </w:rPr>
        <w:t>Será inabilitado o licitante que não comprovar sua habilitação, deixar de apresentar quaisquer dos documentos exigidos para a habilitação, ou apresentá-los em desacordo com o estabelecido neste Edital.</w:t>
      </w:r>
    </w:p>
    <w:p w:rsidR="005164D3" w:rsidRPr="00F45734" w:rsidRDefault="005164D3" w:rsidP="00F45734">
      <w:pPr>
        <w:pStyle w:val="PargrafodaLista"/>
        <w:numPr>
          <w:ilvl w:val="2"/>
          <w:numId w:val="1"/>
        </w:numPr>
        <w:tabs>
          <w:tab w:val="left" w:pos="1440"/>
        </w:tabs>
        <w:autoSpaceDE w:val="0"/>
        <w:snapToGrid w:val="0"/>
        <w:spacing w:before="120" w:after="120" w:line="276" w:lineRule="auto"/>
        <w:ind w:left="567" w:firstLine="0"/>
        <w:jc w:val="both"/>
        <w:rPr>
          <w:rFonts w:cs="Times New Roman"/>
          <w:sz w:val="22"/>
          <w:szCs w:val="22"/>
        </w:rPr>
      </w:pPr>
      <w:r w:rsidRPr="00F45734">
        <w:rPr>
          <w:rFonts w:cs="Times New Roman"/>
          <w:sz w:val="22"/>
          <w:szCs w:val="22"/>
        </w:rPr>
        <w:t>No caso de inabilitação, o Pregoeiro retomará o procedimento a partir da fase de julgamento da proposta, examinando a proposta subsequente e, assim sucessivamente, na ordem de classificação.</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hanging="11"/>
        <w:jc w:val="both"/>
        <w:rPr>
          <w:rFonts w:cs="Times New Roman"/>
          <w:sz w:val="22"/>
          <w:szCs w:val="22"/>
        </w:rPr>
      </w:pPr>
      <w:r w:rsidRPr="00A33734">
        <w:rPr>
          <w:rFonts w:cs="Times New Roman"/>
          <w:sz w:val="22"/>
          <w:szCs w:val="22"/>
        </w:rPr>
        <w:t>Para fins de habilitação, o Pregoeiro poderá obter certidões de órgãos ou entidades emissoras de certidões por sítios oficiais.</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hanging="11"/>
        <w:jc w:val="both"/>
        <w:rPr>
          <w:rFonts w:cs="Times New Roman"/>
          <w:sz w:val="22"/>
          <w:szCs w:val="22"/>
        </w:rPr>
      </w:pPr>
      <w:r w:rsidRPr="00A33734">
        <w:rPr>
          <w:rFonts w:cs="Times New Roman"/>
          <w:sz w:val="22"/>
          <w:szCs w:val="22"/>
        </w:rPr>
        <w:t>Não serão aceitos documentos com indicação de CNPJ diferentes, salvo aqueles legalmente permitidos.</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hanging="11"/>
        <w:jc w:val="both"/>
        <w:rPr>
          <w:rFonts w:cs="Times New Roman"/>
          <w:sz w:val="22"/>
          <w:szCs w:val="22"/>
        </w:rPr>
      </w:pPr>
      <w:r w:rsidRPr="00A33734">
        <w:rPr>
          <w:rFonts w:cs="Times New Roman"/>
          <w:sz w:val="22"/>
          <w:szCs w:val="22"/>
        </w:rPr>
        <w:lastRenderedPageBreak/>
        <w:t>Havendo necessidade de analisar minuciosamente os documentos exigidos, o Pregoeiro suspenderá a sessão, informando no “chat” a nova data e horário para a continuidade da mesma.</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hanging="11"/>
        <w:jc w:val="both"/>
        <w:rPr>
          <w:rFonts w:cs="Times New Roman"/>
          <w:sz w:val="22"/>
          <w:szCs w:val="22"/>
        </w:rPr>
      </w:pPr>
      <w:r w:rsidRPr="00A33734">
        <w:rPr>
          <w:rFonts w:cs="Times New Roman"/>
          <w:sz w:val="22"/>
          <w:szCs w:val="22"/>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5164D3" w:rsidRPr="00A33734" w:rsidRDefault="005164D3" w:rsidP="00F45734">
      <w:pPr>
        <w:pStyle w:val="PargrafodaLista"/>
        <w:numPr>
          <w:ilvl w:val="1"/>
          <w:numId w:val="1"/>
        </w:numPr>
        <w:tabs>
          <w:tab w:val="left" w:pos="709"/>
        </w:tabs>
        <w:autoSpaceDE w:val="0"/>
        <w:snapToGrid w:val="0"/>
        <w:spacing w:before="120" w:after="120" w:line="276" w:lineRule="auto"/>
        <w:ind w:left="0" w:firstLine="0"/>
        <w:jc w:val="both"/>
        <w:rPr>
          <w:rFonts w:cs="Times New Roman"/>
          <w:sz w:val="22"/>
          <w:szCs w:val="22"/>
        </w:rPr>
      </w:pPr>
      <w:r w:rsidRPr="00A33734">
        <w:rPr>
          <w:rFonts w:cs="Times New Roman"/>
          <w:sz w:val="22"/>
          <w:szCs w:val="22"/>
        </w:rPr>
        <w:t>Constatado o atendimento às exigências de habilitação fixadas no Edital, o licitante será declarado vencedor.</w:t>
      </w:r>
    </w:p>
    <w:p w:rsidR="005164D3" w:rsidRPr="00A33734" w:rsidRDefault="005164D3" w:rsidP="00431819">
      <w:pPr>
        <w:numPr>
          <w:ilvl w:val="2"/>
          <w:numId w:val="1"/>
        </w:numPr>
        <w:tabs>
          <w:tab w:val="left" w:pos="1418"/>
          <w:tab w:val="left" w:pos="1560"/>
          <w:tab w:val="left" w:pos="1843"/>
          <w:tab w:val="left" w:pos="1985"/>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Havendo alguma restrição na comprovação de sua regularidade fiscal, ser-lhe-á assegurado o prazo de 0</w:t>
      </w:r>
      <w:r w:rsidR="00B17729">
        <w:rPr>
          <w:rFonts w:cs="Times New Roman"/>
          <w:sz w:val="22"/>
          <w:szCs w:val="22"/>
        </w:rPr>
        <w:t>5</w:t>
      </w:r>
      <w:r w:rsidRPr="00A33734">
        <w:rPr>
          <w:rFonts w:cs="Times New Roman"/>
          <w:sz w:val="22"/>
          <w:szCs w:val="22"/>
        </w:rPr>
        <w:t xml:space="preserve"> (</w:t>
      </w:r>
      <w:r w:rsidR="00B17729">
        <w:rPr>
          <w:rFonts w:cs="Times New Roman"/>
          <w:sz w:val="22"/>
          <w:szCs w:val="22"/>
        </w:rPr>
        <w:t>cinco</w:t>
      </w:r>
      <w:r w:rsidRPr="00A33734">
        <w:rPr>
          <w:rFonts w:cs="Times New Roman"/>
          <w:sz w:val="22"/>
          <w:szCs w:val="22"/>
        </w:rPr>
        <w:t xml:space="preserve">) dias úteis, a contar do momento em que for declarado vencedor do certame, prorrogável por igual período, a critério da Administração Pública, para a regularização da documentação, pagamento ou parcelamento do débito, e emissão de eventuais certidões negativas ou positivas com efeito de certidão negativa. </w:t>
      </w:r>
    </w:p>
    <w:p w:rsidR="005164D3" w:rsidRPr="00A33734" w:rsidRDefault="005164D3" w:rsidP="00431819">
      <w:pPr>
        <w:numPr>
          <w:ilvl w:val="2"/>
          <w:numId w:val="1"/>
        </w:numPr>
        <w:tabs>
          <w:tab w:val="left" w:pos="1440"/>
          <w:tab w:val="left" w:pos="1560"/>
          <w:tab w:val="left" w:pos="2127"/>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 declaração do vencedor de que trata este subitem acontecerá no momento imediatamente posterior à fase de habilitação, aguardando-se os prazos de regularização fiscal para a abertura da fase recursal.</w:t>
      </w:r>
    </w:p>
    <w:p w:rsidR="005164D3" w:rsidRPr="00A33734" w:rsidRDefault="005164D3"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EC2500" w:rsidRPr="00A33734" w:rsidRDefault="00EC2500" w:rsidP="007857DA">
      <w:pPr>
        <w:tabs>
          <w:tab w:val="left" w:pos="1440"/>
        </w:tabs>
        <w:autoSpaceDE w:val="0"/>
        <w:snapToGrid w:val="0"/>
        <w:spacing w:before="120" w:after="120" w:line="276" w:lineRule="auto"/>
        <w:jc w:val="both"/>
        <w:rPr>
          <w:rFonts w:cs="Times New Roman"/>
          <w:sz w:val="22"/>
          <w:szCs w:val="22"/>
        </w:rPr>
      </w:pPr>
    </w:p>
    <w:p w:rsidR="005164D3" w:rsidRPr="00A33734" w:rsidRDefault="005164D3" w:rsidP="00431819">
      <w:pPr>
        <w:pStyle w:val="PargrafodaLista"/>
        <w:numPr>
          <w:ilvl w:val="0"/>
          <w:numId w:val="1"/>
        </w:numPr>
        <w:tabs>
          <w:tab w:val="left" w:pos="1440"/>
        </w:tabs>
        <w:autoSpaceDE w:val="0"/>
        <w:snapToGrid w:val="0"/>
        <w:spacing w:before="120" w:after="120" w:line="276" w:lineRule="auto"/>
        <w:ind w:left="567" w:hanging="567"/>
        <w:jc w:val="both"/>
        <w:rPr>
          <w:rFonts w:cs="Times New Roman"/>
          <w:b/>
          <w:sz w:val="22"/>
          <w:szCs w:val="22"/>
        </w:rPr>
      </w:pPr>
      <w:r w:rsidRPr="00A33734">
        <w:rPr>
          <w:rFonts w:cs="Times New Roman"/>
          <w:b/>
          <w:sz w:val="22"/>
          <w:szCs w:val="22"/>
        </w:rPr>
        <w:t>DO ENCAMINHAMENTO DA PROPOSTA VENCEDORA E DA DOCUMENTAÇÃO DE HABILITAÇÃO</w:t>
      </w:r>
    </w:p>
    <w:p w:rsidR="005164D3" w:rsidRPr="001E3F3E" w:rsidRDefault="005164D3" w:rsidP="00F45734">
      <w:pPr>
        <w:pStyle w:val="PargrafodaLista"/>
        <w:numPr>
          <w:ilvl w:val="1"/>
          <w:numId w:val="1"/>
        </w:numPr>
        <w:tabs>
          <w:tab w:val="left" w:pos="709"/>
        </w:tabs>
        <w:autoSpaceDE w:val="0"/>
        <w:snapToGrid w:val="0"/>
        <w:spacing w:before="120" w:after="120" w:line="276" w:lineRule="auto"/>
        <w:ind w:left="0" w:hanging="8"/>
        <w:jc w:val="both"/>
        <w:rPr>
          <w:rFonts w:cs="Times New Roman"/>
          <w:sz w:val="22"/>
          <w:szCs w:val="22"/>
        </w:rPr>
      </w:pPr>
      <w:r w:rsidRPr="001E3F3E">
        <w:rPr>
          <w:rFonts w:cs="Times New Roman"/>
          <w:sz w:val="22"/>
          <w:szCs w:val="22"/>
        </w:rPr>
        <w:t>A proposta de preços e os documentos de habilitação do licitante declarado vencedor, exceto as declarações enviadas juntamente com a proposta no momento de inserção no sistema eletrônico e os que estejam contemplados pelo SICAF, deverão ser encaminhados no prazo de 03 (três) dias úteis, contados da solicitação do Pregoeiro no sistema eletrônico.</w:t>
      </w:r>
    </w:p>
    <w:p w:rsidR="005164D3" w:rsidRPr="00A33734" w:rsidRDefault="005164D3" w:rsidP="00431819">
      <w:pPr>
        <w:pStyle w:val="PargrafodaLista"/>
        <w:numPr>
          <w:ilvl w:val="2"/>
          <w:numId w:val="1"/>
        </w:numPr>
        <w:tabs>
          <w:tab w:val="left" w:pos="1440"/>
          <w:tab w:val="left" w:pos="1560"/>
          <w:tab w:val="left" w:pos="2268"/>
        </w:tabs>
        <w:autoSpaceDE w:val="0"/>
        <w:snapToGrid w:val="0"/>
        <w:spacing w:before="120" w:after="120" w:line="276" w:lineRule="auto"/>
        <w:ind w:left="709" w:hanging="11"/>
        <w:jc w:val="both"/>
        <w:rPr>
          <w:rFonts w:cs="Times New Roman"/>
          <w:sz w:val="22"/>
          <w:szCs w:val="22"/>
        </w:rPr>
      </w:pPr>
      <w:r w:rsidRPr="00A33734">
        <w:rPr>
          <w:rFonts w:cs="Times New Roman"/>
          <w:sz w:val="22"/>
          <w:szCs w:val="22"/>
        </w:rPr>
        <w:t>Os documentos poderão ser encaminhados em original, em cópia autenticada por cartório competente ou por servidor da Administração, ou por meio de publicação em órgão da imprensa oficial.</w:t>
      </w:r>
    </w:p>
    <w:p w:rsidR="005164D3" w:rsidRPr="00A33734" w:rsidRDefault="005164D3" w:rsidP="00431819">
      <w:pPr>
        <w:numPr>
          <w:ilvl w:val="2"/>
          <w:numId w:val="1"/>
        </w:numPr>
        <w:tabs>
          <w:tab w:val="left" w:pos="1440"/>
          <w:tab w:val="left" w:pos="1560"/>
        </w:tabs>
        <w:autoSpaceDE w:val="0"/>
        <w:snapToGrid w:val="0"/>
        <w:spacing w:before="120" w:after="120" w:line="276" w:lineRule="auto"/>
        <w:ind w:left="709" w:hanging="11"/>
        <w:jc w:val="both"/>
        <w:rPr>
          <w:rFonts w:cs="Times New Roman"/>
          <w:sz w:val="22"/>
          <w:szCs w:val="22"/>
        </w:rPr>
      </w:pPr>
      <w:r w:rsidRPr="00A33734">
        <w:rPr>
          <w:rFonts w:cs="Times New Roman"/>
          <w:sz w:val="22"/>
          <w:szCs w:val="22"/>
        </w:rPr>
        <w:t>A proposta final deverá conter as exigências elencadas nos subitens deste Edital, bem como a indicação do banco, número da conta e agência do licitante vencedor, para fins de pagamento.</w:t>
      </w:r>
    </w:p>
    <w:p w:rsidR="005164D3" w:rsidRPr="00A33734" w:rsidRDefault="005164D3" w:rsidP="00431819">
      <w:pPr>
        <w:numPr>
          <w:ilvl w:val="2"/>
          <w:numId w:val="1"/>
        </w:numPr>
        <w:tabs>
          <w:tab w:val="left" w:pos="1440"/>
          <w:tab w:val="left" w:pos="1560"/>
          <w:tab w:val="left" w:pos="2127"/>
        </w:tabs>
        <w:autoSpaceDE w:val="0"/>
        <w:snapToGrid w:val="0"/>
        <w:spacing w:before="120" w:after="120" w:line="276" w:lineRule="auto"/>
        <w:ind w:left="709" w:hanging="11"/>
        <w:jc w:val="both"/>
        <w:rPr>
          <w:rFonts w:cs="Times New Roman"/>
          <w:sz w:val="22"/>
          <w:szCs w:val="22"/>
        </w:rPr>
      </w:pPr>
      <w:r w:rsidRPr="00A33734">
        <w:rPr>
          <w:rFonts w:cs="Times New Roman"/>
          <w:sz w:val="22"/>
          <w:szCs w:val="22"/>
        </w:rPr>
        <w:t xml:space="preserve">Nesta oportunidade, deverá ser apresentado, também, documento que qualifique o representante da empresa como tal, podendo isto se dar mediante a apresentação do Contrato Social, procuração que comprove a outorga de poderes, na forma da lei, para formular ofertas e lances de preços e praticar todos os demais atos pertinentes ao certame em nome da licitante; ou documento no qual estejam expressos poderes para exercer direitos e assumir obrigações, no caso do representante ser sócio, proprietário, dirigente ou assemelhado da licitante, em decorrência de tal investidura. Caso a procuração seja particular, deverá ter firma </w:t>
      </w:r>
      <w:r w:rsidRPr="00A33734">
        <w:rPr>
          <w:rFonts w:cs="Times New Roman"/>
          <w:sz w:val="22"/>
          <w:szCs w:val="22"/>
        </w:rPr>
        <w:lastRenderedPageBreak/>
        <w:t>reconhecida e estar acompanhada dos documentos comprobatórios dos poderes do outorgante.</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firstLine="0"/>
        <w:jc w:val="both"/>
        <w:rPr>
          <w:rFonts w:cs="Times New Roman"/>
          <w:sz w:val="22"/>
          <w:szCs w:val="22"/>
        </w:rPr>
      </w:pPr>
      <w:r w:rsidRPr="00A33734">
        <w:rPr>
          <w:rFonts w:cs="Times New Roman"/>
          <w:sz w:val="22"/>
          <w:szCs w:val="22"/>
        </w:rPr>
        <w:t>A proposta de preços, a documentação de habilitação e o documento que qualifique o representante da empresa deverão ser encaminhados para o seguinte endereço:</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r w:rsidRPr="00A33734">
        <w:rPr>
          <w:rFonts w:cs="Times New Roman"/>
          <w:sz w:val="22"/>
          <w:szCs w:val="22"/>
        </w:rPr>
        <w:t>Departamento de Polícia Federal</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r w:rsidRPr="00A33734">
        <w:rPr>
          <w:rFonts w:cs="Times New Roman"/>
          <w:sz w:val="22"/>
          <w:szCs w:val="22"/>
        </w:rPr>
        <w:t>Coordenação de Administração – COAD/DLOG/DPF</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r w:rsidRPr="00A33734">
        <w:rPr>
          <w:rFonts w:cs="Times New Roman"/>
          <w:sz w:val="22"/>
          <w:szCs w:val="22"/>
        </w:rPr>
        <w:t>SAS Quadra 06 – Lotes 09/10 – Edifício Sede do DPF – Sala 110</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r w:rsidRPr="00A33734">
        <w:rPr>
          <w:rFonts w:cs="Times New Roman"/>
          <w:sz w:val="22"/>
          <w:szCs w:val="22"/>
        </w:rPr>
        <w:t>70.037-900 – Brasília – DF</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r w:rsidRPr="00A33734">
        <w:rPr>
          <w:rFonts w:cs="Times New Roman"/>
          <w:sz w:val="22"/>
          <w:szCs w:val="22"/>
        </w:rPr>
        <w:t xml:space="preserve">Ref.: Pregão Eletrônico nº </w:t>
      </w:r>
      <w:r w:rsidR="000447F5" w:rsidRPr="00A33734">
        <w:rPr>
          <w:rFonts w:cs="Times New Roman"/>
          <w:sz w:val="22"/>
          <w:szCs w:val="22"/>
        </w:rPr>
        <w:t>XXXX</w:t>
      </w:r>
      <w:r w:rsidRPr="00A33734">
        <w:rPr>
          <w:rFonts w:cs="Times New Roman"/>
          <w:sz w:val="22"/>
          <w:szCs w:val="22"/>
        </w:rPr>
        <w:t>/2014 – COAD/DLOG/DPF</w:t>
      </w:r>
    </w:p>
    <w:p w:rsidR="005164D3" w:rsidRPr="00A33734" w:rsidRDefault="005164D3" w:rsidP="007857DA">
      <w:pPr>
        <w:tabs>
          <w:tab w:val="left" w:pos="1440"/>
        </w:tabs>
        <w:autoSpaceDE w:val="0"/>
        <w:snapToGrid w:val="0"/>
        <w:spacing w:before="120" w:after="120" w:line="276" w:lineRule="auto"/>
        <w:jc w:val="both"/>
        <w:rPr>
          <w:rFonts w:cs="Times New Roman"/>
          <w:sz w:val="22"/>
          <w:szCs w:val="22"/>
        </w:rPr>
      </w:pP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firstLine="0"/>
        <w:jc w:val="both"/>
        <w:rPr>
          <w:rFonts w:cs="Times New Roman"/>
          <w:sz w:val="22"/>
          <w:szCs w:val="22"/>
        </w:rPr>
      </w:pPr>
      <w:r w:rsidRPr="00A33734">
        <w:rPr>
          <w:rFonts w:cs="Times New Roman"/>
          <w:sz w:val="22"/>
          <w:szCs w:val="22"/>
        </w:rPr>
        <w:t>Não serão aceitos “protocolos de entrega” ou “solicitação de documento” em substituição aos documentos requeridos no presente Edital e seus Anexos.</w:t>
      </w:r>
    </w:p>
    <w:p w:rsidR="005164D3" w:rsidRPr="00A33734" w:rsidRDefault="005164D3" w:rsidP="00431819">
      <w:pPr>
        <w:pStyle w:val="PargrafodaLista"/>
        <w:numPr>
          <w:ilvl w:val="1"/>
          <w:numId w:val="1"/>
        </w:numPr>
        <w:tabs>
          <w:tab w:val="left" w:pos="709"/>
        </w:tabs>
        <w:autoSpaceDE w:val="0"/>
        <w:snapToGrid w:val="0"/>
        <w:spacing w:before="120" w:after="120" w:line="276" w:lineRule="auto"/>
        <w:ind w:left="0" w:firstLine="0"/>
        <w:jc w:val="both"/>
        <w:rPr>
          <w:rFonts w:cs="Times New Roman"/>
          <w:sz w:val="22"/>
          <w:szCs w:val="22"/>
        </w:rPr>
      </w:pPr>
      <w:r w:rsidRPr="00A33734">
        <w:rPr>
          <w:rFonts w:cs="Times New Roman"/>
          <w:sz w:val="22"/>
          <w:szCs w:val="22"/>
        </w:rPr>
        <w:t>A proposta de preços será documentada nos autos e levada em consideração no decorrer da execução do contrato e aplicação de eventual sanção à Adjudicatária/Contratada, se for o caso.</w:t>
      </w:r>
    </w:p>
    <w:p w:rsidR="005164D3" w:rsidRPr="00A33734" w:rsidRDefault="005164D3" w:rsidP="00431819">
      <w:pPr>
        <w:pStyle w:val="PargrafodaLista"/>
        <w:numPr>
          <w:ilvl w:val="2"/>
          <w:numId w:val="1"/>
        </w:numPr>
        <w:tabs>
          <w:tab w:val="left" w:pos="1440"/>
          <w:tab w:val="left" w:pos="1560"/>
        </w:tabs>
        <w:autoSpaceDE w:val="0"/>
        <w:snapToGrid w:val="0"/>
        <w:spacing w:before="120" w:after="120" w:line="276" w:lineRule="auto"/>
        <w:ind w:left="709" w:hanging="11"/>
        <w:jc w:val="both"/>
        <w:rPr>
          <w:rFonts w:cs="Times New Roman"/>
          <w:sz w:val="22"/>
          <w:szCs w:val="22"/>
        </w:rPr>
      </w:pPr>
      <w:r w:rsidRPr="00A33734">
        <w:rPr>
          <w:rFonts w:cs="Times New Roman"/>
          <w:sz w:val="22"/>
          <w:szCs w:val="22"/>
        </w:rPr>
        <w:t>Todas as especificações do objeto contidas na proposta, tais como marca, modelo, tipo, fabricante e procedência, vinculam a Adjudicatária/Contratada.</w:t>
      </w:r>
    </w:p>
    <w:p w:rsidR="00524EBA" w:rsidRPr="00A33734" w:rsidRDefault="00524EBA" w:rsidP="007857DA">
      <w:pPr>
        <w:tabs>
          <w:tab w:val="left" w:pos="1440"/>
        </w:tabs>
        <w:autoSpaceDE w:val="0"/>
        <w:snapToGrid w:val="0"/>
        <w:spacing w:before="120" w:after="120" w:line="276" w:lineRule="auto"/>
        <w:jc w:val="both"/>
        <w:rPr>
          <w:rFonts w:cs="Times New Roman"/>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lang w:eastAsia="en-US"/>
        </w:rPr>
      </w:pPr>
      <w:r w:rsidRPr="00A33734">
        <w:rPr>
          <w:rFonts w:cs="Times New Roman"/>
          <w:b/>
          <w:sz w:val="22"/>
          <w:szCs w:val="22"/>
          <w:lang w:eastAsia="en-US"/>
        </w:rPr>
        <w:t xml:space="preserve"> DOS RECURSOS</w:t>
      </w:r>
    </w:p>
    <w:p w:rsidR="000F104D" w:rsidRPr="00A33734" w:rsidRDefault="00524EBA"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 xml:space="preserve">Declarado o vencedor e </w:t>
      </w:r>
      <w:r w:rsidR="000F104D" w:rsidRPr="00A33734">
        <w:rPr>
          <w:rFonts w:cs="Times New Roman"/>
          <w:sz w:val="22"/>
          <w:szCs w:val="22"/>
          <w:lang w:eastAsia="en-US"/>
        </w:rPr>
        <w:t>decorr</w:t>
      </w:r>
      <w:r w:rsidR="000F104D" w:rsidRPr="00A33734">
        <w:rPr>
          <w:rFonts w:cs="Times New Roman"/>
          <w:sz w:val="22"/>
          <w:szCs w:val="22"/>
        </w:rPr>
        <w:t xml:space="preserve">ida a </w:t>
      </w:r>
      <w:r w:rsidR="000F104D" w:rsidRPr="00A33734">
        <w:rPr>
          <w:rFonts w:cs="Times New Roman"/>
          <w:sz w:val="22"/>
          <w:szCs w:val="22"/>
          <w:lang w:eastAsia="en-US"/>
        </w:rPr>
        <w:t>fase de regularização fiscal de microempresa</w:t>
      </w:r>
      <w:r w:rsidR="001B0407" w:rsidRPr="00A33734">
        <w:rPr>
          <w:rFonts w:cs="Times New Roman"/>
          <w:sz w:val="22"/>
          <w:szCs w:val="22"/>
          <w:lang w:eastAsia="en-US"/>
        </w:rPr>
        <w:t>,</w:t>
      </w:r>
      <w:r w:rsidR="000F104D" w:rsidRPr="00A33734">
        <w:rPr>
          <w:rFonts w:cs="Times New Roman"/>
          <w:sz w:val="22"/>
          <w:szCs w:val="22"/>
          <w:lang w:eastAsia="en-US"/>
        </w:rPr>
        <w:t xml:space="preserve"> empresa de pequeno porte</w:t>
      </w:r>
      <w:r w:rsidR="001B0407" w:rsidRPr="00A33734">
        <w:rPr>
          <w:rFonts w:cs="Times New Roman"/>
          <w:sz w:val="22"/>
          <w:szCs w:val="22"/>
          <w:lang w:eastAsia="en-US"/>
        </w:rPr>
        <w:t xml:space="preserve"> ou </w:t>
      </w:r>
      <w:r w:rsidR="001B0407" w:rsidRPr="00A33734">
        <w:rPr>
          <w:rFonts w:eastAsia="Zurich BT" w:cs="Times New Roman"/>
          <w:bCs/>
          <w:sz w:val="22"/>
          <w:szCs w:val="22"/>
        </w:rPr>
        <w:t>sociedade cooperativa</w:t>
      </w:r>
      <w:r w:rsidR="000F104D" w:rsidRPr="00A33734">
        <w:rPr>
          <w:rFonts w:cs="Times New Roman"/>
          <w:sz w:val="22"/>
          <w:szCs w:val="22"/>
          <w:lang w:eastAsia="en-US"/>
        </w:rPr>
        <w:t xml:space="preserve">, se for o caso, </w:t>
      </w:r>
      <w:r w:rsidR="00B005DC" w:rsidRPr="00A33734">
        <w:rPr>
          <w:rFonts w:cs="Times New Roman"/>
          <w:sz w:val="22"/>
          <w:szCs w:val="22"/>
          <w:lang w:eastAsia="en-US"/>
        </w:rPr>
        <w:t>será concedido</w:t>
      </w:r>
      <w:r w:rsidR="000F104D" w:rsidRPr="00A33734">
        <w:rPr>
          <w:rFonts w:cs="Times New Roman"/>
          <w:sz w:val="22"/>
          <w:szCs w:val="22"/>
          <w:lang w:eastAsia="en-US"/>
        </w:rPr>
        <w:t xml:space="preserve"> o </w:t>
      </w:r>
      <w:r w:rsidR="000F104D" w:rsidRPr="00A33734">
        <w:rPr>
          <w:rFonts w:cs="Times New Roman"/>
          <w:sz w:val="22"/>
          <w:szCs w:val="22"/>
        </w:rPr>
        <w:t xml:space="preserve">prazo de no mínimo </w:t>
      </w:r>
      <w:r w:rsidR="005164D3" w:rsidRPr="00A33734">
        <w:rPr>
          <w:rFonts w:cs="Times New Roman"/>
          <w:sz w:val="22"/>
          <w:szCs w:val="22"/>
        </w:rPr>
        <w:t>trinta</w:t>
      </w:r>
      <w:r w:rsidR="000F104D" w:rsidRPr="00A33734">
        <w:rPr>
          <w:rFonts w:cs="Times New Roman"/>
          <w:sz w:val="22"/>
          <w:szCs w:val="22"/>
        </w:rPr>
        <w:t xml:space="preserve"> minutos, para que qualquer licitante manifeste a intenção de recorrer, de forma motivada, isto é, indicando contra qual(</w:t>
      </w:r>
      <w:proofErr w:type="spellStart"/>
      <w:r w:rsidR="000F104D" w:rsidRPr="00A33734">
        <w:rPr>
          <w:rFonts w:cs="Times New Roman"/>
          <w:sz w:val="22"/>
          <w:szCs w:val="22"/>
        </w:rPr>
        <w:t>is</w:t>
      </w:r>
      <w:proofErr w:type="spellEnd"/>
      <w:r w:rsidR="000F104D" w:rsidRPr="00A33734">
        <w:rPr>
          <w:rFonts w:cs="Times New Roman"/>
          <w:sz w:val="22"/>
          <w:szCs w:val="22"/>
        </w:rPr>
        <w:t>) decisão(</w:t>
      </w:r>
      <w:proofErr w:type="spellStart"/>
      <w:r w:rsidR="000F104D" w:rsidRPr="00A33734">
        <w:rPr>
          <w:rFonts w:cs="Times New Roman"/>
          <w:sz w:val="22"/>
          <w:szCs w:val="22"/>
        </w:rPr>
        <w:t>ões</w:t>
      </w:r>
      <w:proofErr w:type="spellEnd"/>
      <w:r w:rsidR="000F104D" w:rsidRPr="00A33734">
        <w:rPr>
          <w:rFonts w:cs="Times New Roman"/>
          <w:sz w:val="22"/>
          <w:szCs w:val="22"/>
        </w:rPr>
        <w:t>) pretende recorrer e por quais motivos, em campo próprio do sistema.</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Havendo quem se manifeste, caberá ao </w:t>
      </w:r>
      <w:r w:rsidR="00E17E25" w:rsidRPr="00A33734">
        <w:rPr>
          <w:rFonts w:cs="Times New Roman"/>
          <w:sz w:val="22"/>
          <w:szCs w:val="22"/>
        </w:rPr>
        <w:t>Pregoeiro</w:t>
      </w:r>
      <w:r w:rsidRPr="00A33734">
        <w:rPr>
          <w:rFonts w:cs="Times New Roman"/>
          <w:sz w:val="22"/>
          <w:szCs w:val="22"/>
        </w:rPr>
        <w:t xml:space="preserve"> verificar a tempestividade e a existência de motivação da intenção de recorrer, para decidir se admite ou não o recurso, fundamentadamente.</w:t>
      </w:r>
    </w:p>
    <w:p w:rsidR="000F104D" w:rsidRPr="00A33734" w:rsidRDefault="000F104D"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 xml:space="preserve">Nesse momento o </w:t>
      </w:r>
      <w:r w:rsidR="00E17E25" w:rsidRPr="00A33734">
        <w:rPr>
          <w:rFonts w:cs="Times New Roman"/>
          <w:sz w:val="22"/>
          <w:szCs w:val="22"/>
        </w:rPr>
        <w:t>Pregoeiro</w:t>
      </w:r>
      <w:r w:rsidRPr="00A33734">
        <w:rPr>
          <w:rFonts w:cs="Times New Roman"/>
          <w:sz w:val="22"/>
          <w:szCs w:val="22"/>
        </w:rPr>
        <w:t xml:space="preserve"> não adentrará no mérito recursal, mas apenas verificará as condições de admissibilidade do recurso.</w:t>
      </w:r>
    </w:p>
    <w:p w:rsidR="006F0832" w:rsidRPr="00A33734" w:rsidRDefault="000F104D"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 falta de manifestação motivada do licitante quanto à intenção de recorrer importará a decadência desse direito</w:t>
      </w:r>
      <w:r w:rsidR="006F0832" w:rsidRPr="00A33734">
        <w:rPr>
          <w:rFonts w:cs="Times New Roman"/>
          <w:sz w:val="22"/>
          <w:szCs w:val="22"/>
        </w:rPr>
        <w:t>.</w:t>
      </w:r>
    </w:p>
    <w:p w:rsidR="000F104D" w:rsidRPr="00A33734" w:rsidRDefault="000F104D"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acolhimento do recurso invalida tão somente os atos insuscetíveis de aproveitamento. </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lastRenderedPageBreak/>
        <w:t xml:space="preserve">Os autos do processo permanecerão com vista franqueada aos interessados, no </w:t>
      </w:r>
      <w:r w:rsidR="006F0832" w:rsidRPr="00A33734">
        <w:rPr>
          <w:rFonts w:cs="Times New Roman"/>
          <w:sz w:val="22"/>
          <w:szCs w:val="22"/>
        </w:rPr>
        <w:t>endereço constante neste Edital.</w:t>
      </w:r>
    </w:p>
    <w:p w:rsidR="006F0832" w:rsidRPr="00A33734" w:rsidRDefault="006F0832" w:rsidP="007857DA">
      <w:pPr>
        <w:spacing w:before="120" w:after="120" w:line="276" w:lineRule="auto"/>
        <w:jc w:val="both"/>
        <w:rPr>
          <w:rFonts w:cs="Times New Roman"/>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DA ADJUDICAÇÃO E HOMOLOGAÇÃO</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 objeto da licitação será adjudicado ao licitante declarado vencedor, por ato do </w:t>
      </w:r>
      <w:r w:rsidR="00E17E25" w:rsidRPr="00A33734">
        <w:rPr>
          <w:rFonts w:cs="Times New Roman"/>
          <w:sz w:val="22"/>
          <w:szCs w:val="22"/>
        </w:rPr>
        <w:t>Pregoeiro</w:t>
      </w:r>
      <w:r w:rsidRPr="00A33734">
        <w:rPr>
          <w:rFonts w:cs="Times New Roman"/>
          <w:sz w:val="22"/>
          <w:szCs w:val="22"/>
        </w:rPr>
        <w:t>, caso não haja interposição de recurso, ou pela autoridade competente, após a regular decisão dos recursos apresentados.</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Após a fase recursal, constatada a regularidade dos atos praticados, a autoridade competente homologará o procedimento licitatório. </w:t>
      </w:r>
    </w:p>
    <w:p w:rsidR="00524EBA" w:rsidRPr="00A33734" w:rsidRDefault="00524EBA" w:rsidP="007857DA">
      <w:pPr>
        <w:spacing w:before="120" w:after="120" w:line="276" w:lineRule="auto"/>
        <w:jc w:val="both"/>
        <w:rPr>
          <w:rFonts w:cs="Times New Roman"/>
          <w:sz w:val="22"/>
          <w:szCs w:val="22"/>
        </w:rPr>
      </w:pPr>
    </w:p>
    <w:p w:rsidR="00525260" w:rsidRDefault="00525260" w:rsidP="00431819">
      <w:pPr>
        <w:numPr>
          <w:ilvl w:val="0"/>
          <w:numId w:val="1"/>
        </w:numPr>
        <w:spacing w:before="120" w:after="120" w:line="276" w:lineRule="auto"/>
        <w:ind w:left="0" w:firstLine="0"/>
        <w:jc w:val="both"/>
        <w:rPr>
          <w:rFonts w:cs="Times New Roman"/>
          <w:b/>
          <w:sz w:val="22"/>
          <w:szCs w:val="22"/>
        </w:rPr>
      </w:pPr>
      <w:r>
        <w:rPr>
          <w:rFonts w:cs="Times New Roman"/>
          <w:b/>
          <w:sz w:val="22"/>
          <w:szCs w:val="22"/>
        </w:rPr>
        <w:t>DA GARANTIA DA EXECUÇÃO</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 xml:space="preserve">O adjudicatário, no prazo de </w:t>
      </w:r>
      <w:r>
        <w:rPr>
          <w:rFonts w:cs="Times New Roman"/>
          <w:sz w:val="22"/>
          <w:szCs w:val="22"/>
        </w:rPr>
        <w:t>3</w:t>
      </w:r>
      <w:r w:rsidRPr="00525260">
        <w:rPr>
          <w:rFonts w:cs="Times New Roman"/>
          <w:sz w:val="22"/>
          <w:szCs w:val="22"/>
        </w:rPr>
        <w:t xml:space="preserve"> (</w:t>
      </w:r>
      <w:r>
        <w:rPr>
          <w:rFonts w:cs="Times New Roman"/>
          <w:sz w:val="22"/>
          <w:szCs w:val="22"/>
        </w:rPr>
        <w:t>três</w:t>
      </w:r>
      <w:r w:rsidRPr="00525260">
        <w:rPr>
          <w:rFonts w:cs="Times New Roman"/>
          <w:sz w:val="22"/>
          <w:szCs w:val="22"/>
        </w:rPr>
        <w:t>) dias após a assinatura do Termo de Contrato, prestará garantia no valor correspondente a 3% (três por cento) do valor do Contrato, que será liberada de acordo com as condições previstas neste Edital, conforme disposto no art. 56 da Lei nº 8.666, de 1993, desde que cumpridas as obrigações contratuais.</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 xml:space="preserve">A inobservância do prazo fixado para apresentação da garantia acarretará a aplicação de multa de 0,07% (sete centésimos por cento) do valor do contrato por dia de atraso, até o máximo de 2% (dois por cento). </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O atraso superior a 25 (vinte e cinco) dias autoriza a Administração a promover a rescisão do contrato por descumprimento ou cumprimento irregular de suas cláusulas, conforme dispõem os incisos I e II do art. 78 da Lei nº 8.666, de 1993;</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A validade da garantia, qualquer que seja a modalidade escolhida, deverá abranger um período de mais 3 (três) meses após o término da vigência contratual.</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 xml:space="preserve">A garantia assegurará, qualquer que seja a modalidade escolhida, o pagamento de: </w:t>
      </w:r>
    </w:p>
    <w:p w:rsidR="00525260" w:rsidRPr="00525260" w:rsidRDefault="00525260" w:rsidP="00525260">
      <w:pPr>
        <w:pStyle w:val="PargrafodaLista"/>
        <w:numPr>
          <w:ilvl w:val="3"/>
          <w:numId w:val="1"/>
        </w:numPr>
        <w:spacing w:before="120" w:after="120" w:line="276" w:lineRule="auto"/>
        <w:ind w:left="1134" w:firstLine="0"/>
        <w:jc w:val="both"/>
        <w:rPr>
          <w:rFonts w:cs="Times New Roman"/>
          <w:sz w:val="22"/>
          <w:szCs w:val="22"/>
        </w:rPr>
      </w:pPr>
      <w:r w:rsidRPr="00525260">
        <w:rPr>
          <w:rFonts w:cs="Times New Roman"/>
          <w:sz w:val="22"/>
          <w:szCs w:val="22"/>
        </w:rPr>
        <w:t xml:space="preserve">Prejuízo advindo do não cumprimento do objeto do contrato e do não adimplemento das demais obrigações nele previstas; </w:t>
      </w:r>
    </w:p>
    <w:p w:rsidR="00525260" w:rsidRPr="00525260" w:rsidRDefault="00525260" w:rsidP="00525260">
      <w:pPr>
        <w:numPr>
          <w:ilvl w:val="2"/>
          <w:numId w:val="1"/>
        </w:numPr>
        <w:spacing w:before="120" w:after="120" w:line="276" w:lineRule="auto"/>
        <w:ind w:left="1134" w:firstLine="0"/>
        <w:jc w:val="both"/>
        <w:rPr>
          <w:rFonts w:cs="Times New Roman"/>
          <w:sz w:val="22"/>
          <w:szCs w:val="22"/>
        </w:rPr>
      </w:pPr>
      <w:r w:rsidRPr="00525260">
        <w:rPr>
          <w:rFonts w:cs="Times New Roman"/>
          <w:sz w:val="22"/>
          <w:szCs w:val="22"/>
        </w:rPr>
        <w:t xml:space="preserve">Prejuízos causados à Contratante ou a terceiro, decorrentes de culpa ou dolo durante a execução do contrato; </w:t>
      </w:r>
    </w:p>
    <w:p w:rsidR="00525260" w:rsidRPr="00525260" w:rsidRDefault="00525260" w:rsidP="00525260">
      <w:pPr>
        <w:numPr>
          <w:ilvl w:val="2"/>
          <w:numId w:val="1"/>
        </w:numPr>
        <w:spacing w:before="120" w:after="120" w:line="276" w:lineRule="auto"/>
        <w:ind w:left="1134" w:firstLine="0"/>
        <w:jc w:val="both"/>
        <w:rPr>
          <w:rFonts w:cs="Times New Roman"/>
          <w:sz w:val="22"/>
          <w:szCs w:val="22"/>
        </w:rPr>
      </w:pPr>
      <w:r w:rsidRPr="00525260">
        <w:rPr>
          <w:rFonts w:cs="Times New Roman"/>
          <w:sz w:val="22"/>
          <w:szCs w:val="22"/>
        </w:rPr>
        <w:t>Multas moratórias e punitivas aplicadas pela Contratante à Contratada;</w:t>
      </w:r>
    </w:p>
    <w:p w:rsidR="00525260" w:rsidRPr="00525260" w:rsidRDefault="00525260" w:rsidP="00525260">
      <w:pPr>
        <w:numPr>
          <w:ilvl w:val="2"/>
          <w:numId w:val="1"/>
        </w:numPr>
        <w:spacing w:before="120" w:after="120" w:line="276" w:lineRule="auto"/>
        <w:ind w:left="1134" w:firstLine="0"/>
        <w:jc w:val="both"/>
        <w:rPr>
          <w:rFonts w:cs="Times New Roman"/>
          <w:sz w:val="22"/>
          <w:szCs w:val="22"/>
        </w:rPr>
      </w:pPr>
      <w:r w:rsidRPr="00525260">
        <w:rPr>
          <w:rFonts w:cs="Times New Roman"/>
          <w:sz w:val="22"/>
          <w:szCs w:val="22"/>
        </w:rPr>
        <w:t>Obrigações trabalhistas, fiscais e previdenciárias de qualquer natureza, não adimplidas pela contratada;</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A garantia em dinheiro deverá ser efetuada na Caixa Econômica Federal em conta específica com correção monetária, em favor do contratante;</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A modalidade seguro-garantia somente será aceita se contemplar todos os eventos indicados acima;</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No caso de alteração do valor do contrato, ou prorrogação de sua vigência, a garantia deverá ser readequada ou renovada nas mesmas condições.</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lastRenderedPageBreak/>
        <w:t xml:space="preserve">A Contratante não executará a garantia na ocorrência de uma ou mais das seguintes hipóteses: </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 xml:space="preserve">Caso fortuito ou força maior; </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 xml:space="preserve">Alteração, sem prévia anuência da seguradora, das obrigações contratuais; </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 xml:space="preserve">Descumprimento das obrigações pelo contratado decorrentes de atos ou fatos praticados pela Contratante; </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Atos ilícitos dolosos praticados por servidores da Contratante.</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Não serão aceitas garantias que incluam outras isenções de responsabilidade que não as previstas neste item.</w:t>
      </w:r>
    </w:p>
    <w:p w:rsidR="00525260" w:rsidRPr="00525260" w:rsidRDefault="00525260" w:rsidP="00525260">
      <w:pPr>
        <w:numPr>
          <w:ilvl w:val="1"/>
          <w:numId w:val="1"/>
        </w:numPr>
        <w:spacing w:before="120" w:after="120" w:line="276" w:lineRule="auto"/>
        <w:ind w:left="425" w:firstLine="0"/>
        <w:jc w:val="both"/>
        <w:rPr>
          <w:rFonts w:cs="Times New Roman"/>
          <w:sz w:val="22"/>
          <w:szCs w:val="22"/>
        </w:rPr>
      </w:pPr>
      <w:r w:rsidRPr="00525260">
        <w:rPr>
          <w:rFonts w:cs="Times New Roman"/>
          <w:sz w:val="22"/>
          <w:szCs w:val="22"/>
        </w:rPr>
        <w:t>Será considerada extinta a garantia:</w:t>
      </w:r>
    </w:p>
    <w:p w:rsidR="00525260" w:rsidRPr="00525260" w:rsidRDefault="00525260" w:rsidP="00525260">
      <w:pPr>
        <w:numPr>
          <w:ilvl w:val="2"/>
          <w:numId w:val="1"/>
        </w:numPr>
        <w:tabs>
          <w:tab w:val="left" w:pos="1440"/>
        </w:tabs>
        <w:autoSpaceDE w:val="0"/>
        <w:snapToGrid w:val="0"/>
        <w:spacing w:before="120" w:after="120" w:line="276" w:lineRule="auto"/>
        <w:ind w:left="1134" w:firstLine="0"/>
        <w:jc w:val="both"/>
        <w:rPr>
          <w:rFonts w:cs="Times New Roman"/>
          <w:sz w:val="22"/>
          <w:szCs w:val="22"/>
        </w:rPr>
      </w:pPr>
      <w:r w:rsidRPr="00525260">
        <w:rPr>
          <w:rFonts w:cs="Times New Roman"/>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525260" w:rsidRPr="00525260" w:rsidRDefault="00525260" w:rsidP="00525260">
      <w:pPr>
        <w:numPr>
          <w:ilvl w:val="2"/>
          <w:numId w:val="1"/>
        </w:numPr>
        <w:spacing w:before="120" w:after="120" w:line="276" w:lineRule="auto"/>
        <w:ind w:left="1134" w:firstLine="0"/>
        <w:jc w:val="both"/>
        <w:rPr>
          <w:rFonts w:cs="Times New Roman"/>
          <w:sz w:val="22"/>
          <w:szCs w:val="22"/>
        </w:rPr>
      </w:pPr>
      <w:r w:rsidRPr="00525260">
        <w:rPr>
          <w:rFonts w:cs="Times New Roman"/>
          <w:sz w:val="22"/>
          <w:szCs w:val="22"/>
        </w:rPr>
        <w:t xml:space="preserve"> No prazo de 90 (noventa) dias após o término da vigência, caso a Contratante não comunique a ocorrência de sinistros.</w:t>
      </w:r>
    </w:p>
    <w:p w:rsidR="00525260" w:rsidRPr="00525260" w:rsidRDefault="00525260" w:rsidP="00525260">
      <w:pPr>
        <w:spacing w:before="120" w:after="120" w:line="276" w:lineRule="auto"/>
        <w:jc w:val="both"/>
        <w:rPr>
          <w:rFonts w:cs="Times New Roman"/>
          <w:b/>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DO TERMO DE CONTRATO</w:t>
      </w:r>
      <w:r w:rsidR="00BB568B" w:rsidRPr="00A33734">
        <w:rPr>
          <w:rFonts w:cs="Times New Roman"/>
          <w:b/>
          <w:sz w:val="22"/>
          <w:szCs w:val="22"/>
        </w:rPr>
        <w:t xml:space="preserve"> OU INSTRUMENTO EQUIVALENTE</w:t>
      </w:r>
    </w:p>
    <w:p w:rsidR="00717F5E" w:rsidRPr="00A33734" w:rsidRDefault="00717F5E"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Após a homologação da licitação, o adjudicatário terá o prazo de 05 </w:t>
      </w:r>
      <w:r w:rsidRPr="00A33734">
        <w:rPr>
          <w:rFonts w:cs="Times New Roman"/>
          <w:i/>
          <w:sz w:val="22"/>
          <w:szCs w:val="22"/>
        </w:rPr>
        <w:t>(cinco)</w:t>
      </w:r>
      <w:r w:rsidRPr="00A33734">
        <w:rPr>
          <w:rFonts w:cs="Times New Roman"/>
          <w:sz w:val="22"/>
          <w:szCs w:val="22"/>
        </w:rPr>
        <w:t xml:space="preserve"> dias úteis, contados a partir da data de sua convocação, para assinar o Termo de Contrato, cuja vigência será de 12 (doze) meses</w:t>
      </w:r>
      <w:r w:rsidR="00BF16B2" w:rsidRPr="00A33734">
        <w:rPr>
          <w:rFonts w:cs="Times New Roman"/>
          <w:sz w:val="22"/>
          <w:szCs w:val="22"/>
        </w:rPr>
        <w:t>.</w:t>
      </w:r>
    </w:p>
    <w:p w:rsidR="00A546F6" w:rsidRPr="00A33734" w:rsidRDefault="00A546F6" w:rsidP="00431819">
      <w:pPr>
        <w:numPr>
          <w:ilvl w:val="1"/>
          <w:numId w:val="1"/>
        </w:numPr>
        <w:spacing w:before="120" w:after="120" w:line="276" w:lineRule="auto"/>
        <w:ind w:left="0" w:firstLine="0"/>
        <w:jc w:val="both"/>
        <w:rPr>
          <w:rFonts w:cs="Times New Roman"/>
          <w:sz w:val="22"/>
          <w:szCs w:val="22"/>
        </w:rPr>
      </w:pPr>
      <w:r w:rsidRPr="00A33734">
        <w:rPr>
          <w:rFonts w:cs="Times New Roman"/>
          <w:bCs/>
          <w:iCs/>
          <w:sz w:val="22"/>
          <w:szCs w:val="22"/>
        </w:rPr>
        <w:t>Previamente à contratação, será realizada consulta ao SICAF, pela contratante, para identificar possível proibição de contratar com o Poder Público.</w:t>
      </w:r>
    </w:p>
    <w:p w:rsidR="00BB568B" w:rsidRPr="00A33734" w:rsidRDefault="00BB568B"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Alternativamente à convocação para comparecer perante o órgão ou entidade</w:t>
      </w:r>
      <w:r w:rsidRPr="00A33734">
        <w:rPr>
          <w:rFonts w:cs="Times New Roman"/>
          <w:i/>
          <w:sz w:val="22"/>
          <w:szCs w:val="22"/>
        </w:rPr>
        <w:t xml:space="preserve"> </w:t>
      </w:r>
      <w:r w:rsidRPr="00A33734">
        <w:rPr>
          <w:rFonts w:cs="Times New Roman"/>
          <w:sz w:val="22"/>
          <w:szCs w:val="22"/>
        </w:rPr>
        <w:t xml:space="preserve">para a assinatura do Termo de Contrato ou aceite do instrumento equivalente, a Administração poderá encaminhá-lo para assinatura ou aceite do adjudicatário, </w:t>
      </w:r>
      <w:r w:rsidRPr="00A33734">
        <w:rPr>
          <w:rFonts w:cs="Times New Roman"/>
          <w:bCs/>
          <w:iCs/>
          <w:sz w:val="22"/>
          <w:szCs w:val="22"/>
        </w:rPr>
        <w:t xml:space="preserve">mediante correspondência postal com aviso de recebimento (AR) ou meio eletrônico, para que seja assinado ou aceito no prazo de </w:t>
      </w:r>
      <w:r w:rsidR="00717F5E" w:rsidRPr="00A33734">
        <w:rPr>
          <w:rFonts w:cs="Times New Roman"/>
          <w:bCs/>
          <w:iCs/>
          <w:sz w:val="22"/>
          <w:szCs w:val="22"/>
        </w:rPr>
        <w:t>05 (cinco)</w:t>
      </w:r>
      <w:r w:rsidRPr="00A33734">
        <w:rPr>
          <w:rFonts w:cs="Times New Roman"/>
          <w:bCs/>
          <w:iCs/>
          <w:sz w:val="22"/>
          <w:szCs w:val="22"/>
        </w:rPr>
        <w:t xml:space="preserve"> dias, a contar da data de seu recebimento.</w:t>
      </w:r>
      <w:r w:rsidRPr="00A33734">
        <w:rPr>
          <w:rFonts w:cs="Times New Roman"/>
          <w:bCs/>
          <w:i/>
          <w:iCs/>
          <w:sz w:val="22"/>
          <w:szCs w:val="22"/>
        </w:rPr>
        <w:t xml:space="preserve"> </w:t>
      </w:r>
    </w:p>
    <w:p w:rsidR="00BB568B" w:rsidRPr="00A33734" w:rsidRDefault="00BB568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prazo previsto no subitem anterior poderá ser prorrogado, por igual período, por solicitação justificada do adjudicatário e aceita pela Administração.</w:t>
      </w:r>
    </w:p>
    <w:p w:rsidR="00BB568B" w:rsidRPr="00A33734" w:rsidRDefault="00BB568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Antes da assinatura do Termo de Contrato ou aceite do instrumento equivalente, a Administração realizará consulta “</w:t>
      </w:r>
      <w:proofErr w:type="spellStart"/>
      <w:r w:rsidRPr="00A33734">
        <w:rPr>
          <w:rFonts w:cs="Times New Roman"/>
          <w:sz w:val="22"/>
          <w:szCs w:val="22"/>
        </w:rPr>
        <w:t>on</w:t>
      </w:r>
      <w:proofErr w:type="spellEnd"/>
      <w:r w:rsidRPr="00A33734">
        <w:rPr>
          <w:rFonts w:cs="Times New Roman"/>
          <w:sz w:val="22"/>
          <w:szCs w:val="22"/>
        </w:rPr>
        <w:t xml:space="preserve"> </w:t>
      </w:r>
      <w:proofErr w:type="spellStart"/>
      <w:r w:rsidRPr="00A33734">
        <w:rPr>
          <w:rFonts w:cs="Times New Roman"/>
          <w:sz w:val="22"/>
          <w:szCs w:val="22"/>
        </w:rPr>
        <w:t>line</w:t>
      </w:r>
      <w:proofErr w:type="spellEnd"/>
      <w:r w:rsidRPr="00A33734">
        <w:rPr>
          <w:rFonts w:cs="Times New Roman"/>
          <w:sz w:val="22"/>
          <w:szCs w:val="22"/>
        </w:rPr>
        <w:t>” ao SICAF, cujo resultado ser</w:t>
      </w:r>
      <w:r w:rsidR="00934A9B" w:rsidRPr="00A33734">
        <w:rPr>
          <w:rFonts w:cs="Times New Roman"/>
          <w:sz w:val="22"/>
          <w:szCs w:val="22"/>
        </w:rPr>
        <w:t>á</w:t>
      </w:r>
      <w:r w:rsidRPr="00A33734">
        <w:rPr>
          <w:rFonts w:cs="Times New Roman"/>
          <w:sz w:val="22"/>
          <w:szCs w:val="22"/>
        </w:rPr>
        <w:t xml:space="preserve"> anexado aos autos do processo. </w:t>
      </w:r>
    </w:p>
    <w:p w:rsidR="000F104D" w:rsidRPr="00A33734" w:rsidRDefault="00BB568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Se o adjudicatário, no ato da assinatura do Termo de Contrato</w:t>
      </w:r>
      <w:r w:rsidR="00717F5E" w:rsidRPr="00A33734">
        <w:rPr>
          <w:rFonts w:cs="Times New Roman"/>
          <w:sz w:val="22"/>
          <w:szCs w:val="22"/>
        </w:rPr>
        <w:t>, não comprovar que mantém as mesmas condições de habilitação, ou quando</w:t>
      </w:r>
      <w:r w:rsidR="00C57314" w:rsidRPr="00A33734">
        <w:rPr>
          <w:rFonts w:cs="Times New Roman"/>
          <w:sz w:val="22"/>
          <w:szCs w:val="22"/>
        </w:rPr>
        <w:t xml:space="preserve"> do</w:t>
      </w:r>
      <w:r w:rsidRPr="00A33734">
        <w:rPr>
          <w:rFonts w:cs="Times New Roman"/>
          <w:sz w:val="22"/>
          <w:szCs w:val="22"/>
        </w:rPr>
        <w:t xml:space="preserve">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w:t>
      </w:r>
      <w:r w:rsidRPr="00A33734">
        <w:rPr>
          <w:rFonts w:cs="Times New Roman"/>
          <w:sz w:val="22"/>
          <w:szCs w:val="22"/>
        </w:rPr>
        <w:lastRenderedPageBreak/>
        <w:t>da proposta, negociação e comprovados os requisitos de habilitação, celebrar a contratação, sem prejuízo das sanções previstas neste Edital e das demais cominações legais.</w:t>
      </w:r>
    </w:p>
    <w:p w:rsidR="003E1FEB" w:rsidRPr="00A33734" w:rsidRDefault="003E1FEB" w:rsidP="007857DA">
      <w:pPr>
        <w:spacing w:before="120" w:after="120" w:line="276" w:lineRule="auto"/>
        <w:jc w:val="both"/>
        <w:rPr>
          <w:rFonts w:cs="Times New Roman"/>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w:t>
      </w:r>
      <w:r w:rsidR="00626431" w:rsidRPr="00A33734">
        <w:rPr>
          <w:rFonts w:cs="Times New Roman"/>
          <w:b/>
          <w:sz w:val="22"/>
          <w:szCs w:val="22"/>
        </w:rPr>
        <w:t>O REAJUSTE</w:t>
      </w:r>
    </w:p>
    <w:p w:rsidR="000F104D" w:rsidRPr="00A33734" w:rsidRDefault="00A9798A"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preço é fixo e irreajustável.</w:t>
      </w:r>
    </w:p>
    <w:p w:rsidR="00717F5E" w:rsidRPr="00A33734" w:rsidRDefault="00717F5E"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As regras acerca do reajuste do valor contratual são as estabelecidas no Termo de Contrato, anexo a este Edital.</w:t>
      </w:r>
    </w:p>
    <w:p w:rsidR="003E1FEB" w:rsidRPr="00A33734" w:rsidRDefault="003E1FEB" w:rsidP="007857DA">
      <w:pPr>
        <w:spacing w:before="120" w:after="120" w:line="276" w:lineRule="auto"/>
        <w:jc w:val="both"/>
        <w:rPr>
          <w:rFonts w:cs="Times New Roman"/>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DA ENTREGA E DO RECEBIMENTO DO OBJETO E DA FISCALIZAÇÃO</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Os critérios de recebimento e aceitação do objeto e de fiscalização estão previstos no Termo de Referência.</w:t>
      </w:r>
    </w:p>
    <w:p w:rsidR="003E1FEB" w:rsidRPr="00A33734" w:rsidRDefault="003E1FEB" w:rsidP="007857DA">
      <w:pPr>
        <w:spacing w:before="120" w:after="120" w:line="276" w:lineRule="auto"/>
        <w:jc w:val="both"/>
        <w:rPr>
          <w:rFonts w:cs="Times New Roman"/>
          <w:sz w:val="22"/>
          <w:szCs w:val="22"/>
        </w:rPr>
      </w:pPr>
    </w:p>
    <w:p w:rsidR="000F104D" w:rsidRPr="00A33734" w:rsidRDefault="00934A9B"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lang w:eastAsia="en-US"/>
        </w:rPr>
        <w:t xml:space="preserve"> </w:t>
      </w:r>
      <w:r w:rsidR="000F104D" w:rsidRPr="00A33734">
        <w:rPr>
          <w:rFonts w:cs="Times New Roman"/>
          <w:b/>
          <w:sz w:val="22"/>
          <w:szCs w:val="22"/>
          <w:lang w:eastAsia="en-US"/>
        </w:rPr>
        <w:t>DAS OBRIGAÇÕES DA CONTRATANTE E DA CONTRATADA</w:t>
      </w:r>
    </w:p>
    <w:p w:rsidR="000F104D" w:rsidRPr="00A33734" w:rsidRDefault="000F104D" w:rsidP="00431819">
      <w:pPr>
        <w:numPr>
          <w:ilvl w:val="1"/>
          <w:numId w:val="1"/>
        </w:numPr>
        <w:spacing w:before="120" w:after="120" w:line="276" w:lineRule="auto"/>
        <w:ind w:left="0" w:firstLine="0"/>
        <w:jc w:val="both"/>
        <w:rPr>
          <w:rFonts w:cs="Times New Roman"/>
          <w:b/>
          <w:sz w:val="22"/>
          <w:szCs w:val="22"/>
        </w:rPr>
      </w:pPr>
      <w:r w:rsidRPr="00A33734">
        <w:rPr>
          <w:rFonts w:cs="Times New Roman"/>
          <w:sz w:val="22"/>
          <w:szCs w:val="22"/>
          <w:lang w:eastAsia="en-US"/>
        </w:rPr>
        <w:t>As obrigações da Contratante e da Contratada são as estabelecidas no Termo de Referência.</w:t>
      </w:r>
      <w:r w:rsidRPr="00A33734">
        <w:rPr>
          <w:rFonts w:cs="Times New Roman"/>
          <w:b/>
          <w:sz w:val="22"/>
          <w:szCs w:val="22"/>
        </w:rPr>
        <w:t xml:space="preserve"> </w:t>
      </w:r>
    </w:p>
    <w:p w:rsidR="003E1FEB" w:rsidRPr="00A33734" w:rsidRDefault="003E1FEB" w:rsidP="007857DA">
      <w:pPr>
        <w:spacing w:before="120" w:after="120" w:line="276" w:lineRule="auto"/>
        <w:jc w:val="both"/>
        <w:rPr>
          <w:rFonts w:cs="Times New Roman"/>
          <w:b/>
          <w:sz w:val="22"/>
          <w:szCs w:val="22"/>
        </w:rPr>
      </w:pPr>
    </w:p>
    <w:p w:rsidR="000F104D" w:rsidRPr="00A33734" w:rsidRDefault="000F104D"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DO PAGAMENTO</w:t>
      </w:r>
    </w:p>
    <w:p w:rsidR="000F104D" w:rsidRPr="00A33734" w:rsidRDefault="000F104D"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 xml:space="preserve"> </w:t>
      </w:r>
      <w:r w:rsidRPr="00A33734">
        <w:rPr>
          <w:rFonts w:cs="Times New Roman"/>
          <w:sz w:val="22"/>
          <w:szCs w:val="22"/>
        </w:rPr>
        <w:t xml:space="preserve">O pagamento </w:t>
      </w:r>
      <w:r w:rsidR="00934A9B" w:rsidRPr="00A33734">
        <w:rPr>
          <w:rFonts w:cs="Times New Roman"/>
          <w:sz w:val="22"/>
          <w:szCs w:val="22"/>
        </w:rPr>
        <w:t xml:space="preserve">será efetuado pela Contratante no prazo de </w:t>
      </w:r>
      <w:r w:rsidR="00717F5E" w:rsidRPr="00A33734">
        <w:rPr>
          <w:rFonts w:cs="Times New Roman"/>
          <w:sz w:val="22"/>
          <w:szCs w:val="22"/>
        </w:rPr>
        <w:t>30 (trinta)</w:t>
      </w:r>
      <w:r w:rsidR="00934A9B" w:rsidRPr="00A33734">
        <w:rPr>
          <w:rFonts w:cs="Times New Roman"/>
          <w:sz w:val="22"/>
          <w:szCs w:val="22"/>
        </w:rPr>
        <w:t xml:space="preserve"> dias, contados da apresentação da Nota Fiscal/Fatura contendo o detalhamento dos serviços executados e os materiais empregados, através de ordem bancária, para crédito em banco, agência e </w:t>
      </w:r>
      <w:r w:rsidR="003E1FEB" w:rsidRPr="00A33734">
        <w:rPr>
          <w:rFonts w:cs="Times New Roman"/>
          <w:sz w:val="22"/>
          <w:szCs w:val="22"/>
        </w:rPr>
        <w:t>conta corrente</w:t>
      </w:r>
      <w:r w:rsidR="00934A9B" w:rsidRPr="00A33734">
        <w:rPr>
          <w:rFonts w:cs="Times New Roman"/>
          <w:sz w:val="22"/>
          <w:szCs w:val="22"/>
        </w:rPr>
        <w:t xml:space="preserve"> indicados pelo contratado.</w:t>
      </w:r>
    </w:p>
    <w:p w:rsidR="00934A9B" w:rsidRPr="00A33734" w:rsidRDefault="00934A9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 xml:space="preserve">Os pagamentos decorrentes de despesas cujos valores não ultrapassem o limite </w:t>
      </w:r>
      <w:r w:rsidRPr="00A33734">
        <w:rPr>
          <w:rFonts w:cs="Times New Roman"/>
          <w:sz w:val="22"/>
          <w:szCs w:val="22"/>
        </w:rPr>
        <w:t>de que trata o inciso II do art. 24</w:t>
      </w:r>
      <w:r w:rsidRPr="00A33734">
        <w:rPr>
          <w:rFonts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p>
    <w:p w:rsidR="00934A9B" w:rsidRPr="00A33734" w:rsidRDefault="00934A9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 xml:space="preserve">A apresentação da Nota Fiscal/Fatura deverá ocorrer no prazo de </w:t>
      </w:r>
      <w:r w:rsidR="00717F5E" w:rsidRPr="00A33734">
        <w:rPr>
          <w:rFonts w:cs="Times New Roman"/>
          <w:sz w:val="22"/>
          <w:szCs w:val="22"/>
          <w:lang w:eastAsia="en-US"/>
        </w:rPr>
        <w:t>5 (dias)</w:t>
      </w:r>
      <w:r w:rsidRPr="00A33734">
        <w:rPr>
          <w:rFonts w:cs="Times New Roman"/>
          <w:sz w:val="22"/>
          <w:szCs w:val="22"/>
          <w:lang w:eastAsia="en-US"/>
        </w:rPr>
        <w:t xml:space="preserve"> dias, contado d</w:t>
      </w:r>
      <w:r w:rsidRPr="00A33734">
        <w:rPr>
          <w:rFonts w:cs="Times New Roman"/>
          <w:sz w:val="22"/>
          <w:szCs w:val="22"/>
        </w:rPr>
        <w:t>a data final do período de adimplemento da parcela da contratação a que aquela se referir.</w:t>
      </w:r>
    </w:p>
    <w:p w:rsidR="00934A9B" w:rsidRPr="00A33734" w:rsidRDefault="00934A9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   </w:t>
      </w:r>
      <w:r w:rsidR="001F26AD" w:rsidRPr="00A33734">
        <w:rPr>
          <w:rFonts w:cs="Times New Roman"/>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34A9B" w:rsidRPr="00A33734" w:rsidRDefault="00934A9B" w:rsidP="00431819">
      <w:pPr>
        <w:numPr>
          <w:ilvl w:val="1"/>
          <w:numId w:val="1"/>
        </w:numPr>
        <w:spacing w:before="120" w:after="120" w:line="276" w:lineRule="auto"/>
        <w:ind w:left="0" w:firstLine="0"/>
        <w:jc w:val="both"/>
        <w:rPr>
          <w:rFonts w:cs="Times New Roman"/>
          <w:sz w:val="22"/>
          <w:szCs w:val="22"/>
          <w:lang w:eastAsia="en-US"/>
        </w:rPr>
      </w:pPr>
      <w:r w:rsidRPr="00A33734">
        <w:rPr>
          <w:rFonts w:cs="Times New Roman"/>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34A9B" w:rsidRPr="00A33734" w:rsidRDefault="00934A9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  Nos termos do artigo 36, § 6°, da Instrução Normativa SLTI/MPOG n° 02, de 2008, será efetuada a retenção ou glosa no pagamento, proporcional à irregularidade verificada, sem prejuízo das sanções cabíveis, caso se constate que a Contratada:</w:t>
      </w:r>
    </w:p>
    <w:p w:rsidR="00934A9B" w:rsidRPr="00A33734" w:rsidRDefault="007857DA" w:rsidP="00431819">
      <w:pPr>
        <w:numPr>
          <w:ilvl w:val="2"/>
          <w:numId w:val="1"/>
        </w:numPr>
        <w:tabs>
          <w:tab w:val="left" w:pos="1418"/>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lastRenderedPageBreak/>
        <w:t>Não</w:t>
      </w:r>
      <w:r w:rsidR="00934A9B" w:rsidRPr="00A33734">
        <w:rPr>
          <w:rFonts w:cs="Times New Roman"/>
          <w:sz w:val="22"/>
          <w:szCs w:val="22"/>
        </w:rPr>
        <w:t xml:space="preserve"> produziu os resultados acordados;</w:t>
      </w:r>
    </w:p>
    <w:p w:rsidR="00934A9B"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Deixou</w:t>
      </w:r>
      <w:r w:rsidR="00934A9B" w:rsidRPr="00A33734">
        <w:rPr>
          <w:rFonts w:cs="Times New Roman"/>
          <w:sz w:val="22"/>
          <w:szCs w:val="22"/>
        </w:rPr>
        <w:t xml:space="preserve"> de executar as atividades contratadas, ou não as executou com a qualidade mínima exigida;</w:t>
      </w:r>
    </w:p>
    <w:p w:rsidR="00934A9B"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Deixou</w:t>
      </w:r>
      <w:r w:rsidR="00934A9B" w:rsidRPr="00A33734">
        <w:rPr>
          <w:rFonts w:cs="Times New Roman"/>
          <w:sz w:val="22"/>
          <w:szCs w:val="22"/>
        </w:rPr>
        <w:t xml:space="preserve"> de utilizar os materiais e recursos humanos exigidos para a execução do serviço, ou utilizou-os com qualidade ou quantidade inferior à demandada.</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rPr>
        <w:t xml:space="preserve">Será considerada data do pagamento o dia </w:t>
      </w:r>
      <w:r w:rsidRPr="00A33734">
        <w:rPr>
          <w:rFonts w:cs="Times New Roman"/>
          <w:sz w:val="22"/>
          <w:szCs w:val="22"/>
          <w:lang w:eastAsia="en-US"/>
        </w:rPr>
        <w:t>em que constar como emitida a ordem bancária para pagamento.</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lang w:eastAsia="en-US"/>
        </w:rPr>
        <w:t xml:space="preserve">Antes de cada pagamento à contratada, será realizada consulta ao SICAF para verificar a manutenção das condições de habilitação exigidas no edital. </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A546F6" w:rsidRPr="00A33734" w:rsidRDefault="00A546F6" w:rsidP="00431819">
      <w:pPr>
        <w:pStyle w:val="PargrafodaLista"/>
        <w:numPr>
          <w:ilvl w:val="1"/>
          <w:numId w:val="1"/>
        </w:numPr>
        <w:spacing w:before="120" w:after="120" w:line="276" w:lineRule="auto"/>
        <w:ind w:left="0" w:firstLine="0"/>
        <w:contextualSpacing w:val="0"/>
        <w:jc w:val="both"/>
        <w:rPr>
          <w:rFonts w:cs="Times New Roman"/>
          <w:sz w:val="22"/>
          <w:szCs w:val="22"/>
        </w:rPr>
      </w:pPr>
      <w:r w:rsidRPr="00A33734">
        <w:rPr>
          <w:rFonts w:cs="Times New Roman"/>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934A9B" w:rsidRPr="00A33734" w:rsidRDefault="00A546F6"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34A9B" w:rsidRPr="00A33734">
        <w:rPr>
          <w:rFonts w:cs="Times New Roman"/>
          <w:sz w:val="22"/>
          <w:szCs w:val="22"/>
          <w:lang w:eastAsia="en-US"/>
        </w:rPr>
        <w:t>.</w:t>
      </w:r>
    </w:p>
    <w:p w:rsidR="00934A9B" w:rsidRPr="00A33734" w:rsidRDefault="00934A9B"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  Quando do pagamento, será efetuada a retenção tributária prevista na legislação aplicável.</w:t>
      </w:r>
    </w:p>
    <w:p w:rsidR="00934A9B" w:rsidRPr="00A33734" w:rsidRDefault="00934A9B" w:rsidP="00431819">
      <w:pPr>
        <w:numPr>
          <w:ilvl w:val="2"/>
          <w:numId w:val="1"/>
        </w:numPr>
        <w:tabs>
          <w:tab w:val="left" w:pos="709"/>
          <w:tab w:val="left" w:pos="1440"/>
          <w:tab w:val="left" w:pos="1560"/>
          <w:tab w:val="left" w:pos="1701"/>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34A9B"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sz w:val="22"/>
          <w:szCs w:val="22"/>
        </w:rPr>
        <w:t xml:space="preserve">  </w:t>
      </w:r>
      <w:r w:rsidR="00934A9B" w:rsidRPr="00A33734">
        <w:rPr>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A33734" w:rsidRDefault="000F104D" w:rsidP="007857DA">
      <w:pPr>
        <w:tabs>
          <w:tab w:val="left" w:pos="1701"/>
        </w:tabs>
        <w:spacing w:before="120" w:after="120" w:line="276" w:lineRule="auto"/>
        <w:jc w:val="both"/>
        <w:rPr>
          <w:rFonts w:cs="Times New Roman"/>
          <w:sz w:val="22"/>
          <w:szCs w:val="22"/>
        </w:rPr>
      </w:pPr>
      <w:r w:rsidRPr="00A33734">
        <w:rPr>
          <w:rFonts w:cs="Times New Roman"/>
          <w:sz w:val="22"/>
          <w:szCs w:val="22"/>
        </w:rPr>
        <w:t>EM = I x N x VP, sendo:</w:t>
      </w:r>
    </w:p>
    <w:p w:rsidR="000F104D" w:rsidRPr="00A33734" w:rsidRDefault="000F104D" w:rsidP="007857DA">
      <w:pPr>
        <w:tabs>
          <w:tab w:val="left" w:pos="1701"/>
        </w:tabs>
        <w:spacing w:before="120" w:after="120" w:line="276" w:lineRule="auto"/>
        <w:jc w:val="both"/>
        <w:rPr>
          <w:snapToGrid w:val="0"/>
          <w:sz w:val="22"/>
          <w:szCs w:val="22"/>
        </w:rPr>
      </w:pPr>
      <w:r w:rsidRPr="00A33734">
        <w:rPr>
          <w:snapToGrid w:val="0"/>
          <w:sz w:val="22"/>
          <w:szCs w:val="22"/>
        </w:rPr>
        <w:t>EM = Encargos moratórios;</w:t>
      </w:r>
    </w:p>
    <w:p w:rsidR="000F104D" w:rsidRPr="00A33734" w:rsidRDefault="000F104D" w:rsidP="007857DA">
      <w:pPr>
        <w:tabs>
          <w:tab w:val="left" w:pos="1701"/>
        </w:tabs>
        <w:spacing w:before="120" w:after="120" w:line="276" w:lineRule="auto"/>
        <w:jc w:val="both"/>
        <w:rPr>
          <w:sz w:val="22"/>
          <w:szCs w:val="22"/>
        </w:rPr>
      </w:pPr>
      <w:r w:rsidRPr="00A33734">
        <w:rPr>
          <w:sz w:val="22"/>
          <w:szCs w:val="22"/>
        </w:rPr>
        <w:lastRenderedPageBreak/>
        <w:t>N = Número de dias entre a data prevista para o pagamento e a do efetivo pagamento;</w:t>
      </w:r>
    </w:p>
    <w:p w:rsidR="000F104D" w:rsidRPr="00A33734" w:rsidRDefault="000F104D" w:rsidP="007857DA">
      <w:pPr>
        <w:tabs>
          <w:tab w:val="left" w:pos="1701"/>
        </w:tabs>
        <w:spacing w:before="120" w:after="120" w:line="276" w:lineRule="auto"/>
        <w:jc w:val="both"/>
        <w:rPr>
          <w:sz w:val="22"/>
          <w:szCs w:val="22"/>
        </w:rPr>
      </w:pPr>
      <w:r w:rsidRPr="00A33734">
        <w:rPr>
          <w:sz w:val="22"/>
          <w:szCs w:val="22"/>
        </w:rPr>
        <w:t>VP = Valor da parcela a ser paga.</w:t>
      </w:r>
    </w:p>
    <w:p w:rsidR="000F104D" w:rsidRPr="00A33734" w:rsidRDefault="000F104D" w:rsidP="007857DA">
      <w:pPr>
        <w:tabs>
          <w:tab w:val="left" w:pos="1701"/>
        </w:tabs>
        <w:spacing w:before="120" w:after="120" w:line="276" w:lineRule="auto"/>
        <w:jc w:val="both"/>
        <w:rPr>
          <w:rFonts w:cs="Times New Roman"/>
          <w:sz w:val="22"/>
          <w:szCs w:val="22"/>
        </w:rPr>
      </w:pPr>
      <w:r w:rsidRPr="00A33734">
        <w:rPr>
          <w:rFonts w:cs="Times New Roman"/>
          <w:snapToGrid w:val="0"/>
          <w:sz w:val="22"/>
          <w:szCs w:val="22"/>
        </w:rPr>
        <w:t xml:space="preserve">I = Índice de compensação financeira = </w:t>
      </w:r>
      <w:r w:rsidRPr="00A33734">
        <w:rPr>
          <w:rFonts w:cs="Times New Roman"/>
          <w:sz w:val="22"/>
          <w:szCs w:val="22"/>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A33734">
        <w:tc>
          <w:tcPr>
            <w:tcW w:w="1701" w:type="dxa"/>
            <w:vAlign w:val="center"/>
          </w:tcPr>
          <w:p w:rsidR="000F104D" w:rsidRPr="00A33734" w:rsidRDefault="000F104D" w:rsidP="007857DA">
            <w:pPr>
              <w:tabs>
                <w:tab w:val="left" w:pos="1701"/>
              </w:tabs>
              <w:spacing w:before="120" w:after="120" w:line="340" w:lineRule="exact"/>
              <w:jc w:val="both"/>
              <w:rPr>
                <w:sz w:val="22"/>
                <w:szCs w:val="22"/>
                <w:u w:val="single"/>
                <w:lang w:val="en-US"/>
              </w:rPr>
            </w:pPr>
            <w:r w:rsidRPr="00A33734">
              <w:rPr>
                <w:sz w:val="22"/>
                <w:szCs w:val="22"/>
                <w:lang w:val="en-US"/>
              </w:rPr>
              <w:t>I = (TX)</w:t>
            </w:r>
          </w:p>
          <w:p w:rsidR="000F104D" w:rsidRPr="00A33734" w:rsidRDefault="000F104D" w:rsidP="007857DA">
            <w:pPr>
              <w:tabs>
                <w:tab w:val="left" w:pos="1701"/>
              </w:tabs>
              <w:spacing w:before="120" w:after="120" w:line="340" w:lineRule="exact"/>
              <w:jc w:val="both"/>
              <w:rPr>
                <w:rFonts w:cs="Times New Roman"/>
                <w:snapToGrid w:val="0"/>
                <w:sz w:val="22"/>
                <w:szCs w:val="22"/>
                <w:lang w:val="en-US"/>
              </w:rPr>
            </w:pPr>
            <w:r w:rsidRPr="00A33734">
              <w:rPr>
                <w:rFonts w:cs="Times New Roman"/>
                <w:snapToGrid w:val="0"/>
                <w:sz w:val="22"/>
                <w:szCs w:val="22"/>
                <w:lang w:val="en-US"/>
              </w:rPr>
              <w:t xml:space="preserve">     </w:t>
            </w:r>
          </w:p>
          <w:p w:rsidR="000F104D" w:rsidRPr="00A33734" w:rsidRDefault="000F104D" w:rsidP="007857DA">
            <w:pPr>
              <w:tabs>
                <w:tab w:val="left" w:pos="1701"/>
              </w:tabs>
              <w:spacing w:before="120" w:after="120" w:line="340" w:lineRule="exact"/>
              <w:jc w:val="both"/>
              <w:rPr>
                <w:sz w:val="22"/>
                <w:szCs w:val="22"/>
                <w:lang w:val="en-US"/>
              </w:rPr>
            </w:pPr>
          </w:p>
        </w:tc>
        <w:tc>
          <w:tcPr>
            <w:tcW w:w="2410" w:type="dxa"/>
            <w:vAlign w:val="center"/>
          </w:tcPr>
          <w:p w:rsidR="000F104D" w:rsidRPr="00A33734" w:rsidRDefault="000F104D" w:rsidP="007857DA">
            <w:pPr>
              <w:tabs>
                <w:tab w:val="left" w:pos="1701"/>
              </w:tabs>
              <w:spacing w:before="120" w:after="120" w:line="340" w:lineRule="exact"/>
              <w:jc w:val="both"/>
              <w:rPr>
                <w:sz w:val="22"/>
                <w:szCs w:val="22"/>
                <w:u w:val="single"/>
                <w:lang w:val="en-US"/>
              </w:rPr>
            </w:pPr>
            <w:r w:rsidRPr="00A33734">
              <w:rPr>
                <w:sz w:val="22"/>
                <w:szCs w:val="22"/>
                <w:lang w:val="en-US"/>
              </w:rPr>
              <w:t xml:space="preserve">I = </w:t>
            </w:r>
            <w:r w:rsidRPr="00A33734">
              <w:rPr>
                <w:sz w:val="22"/>
                <w:szCs w:val="22"/>
                <w:u w:val="single"/>
                <w:lang w:val="en-US"/>
              </w:rPr>
              <w:t>(6/100)</w:t>
            </w:r>
          </w:p>
          <w:p w:rsidR="000F104D" w:rsidRPr="00A33734" w:rsidRDefault="000F104D" w:rsidP="007857DA">
            <w:pPr>
              <w:tabs>
                <w:tab w:val="left" w:pos="1701"/>
              </w:tabs>
              <w:spacing w:before="120" w:after="120" w:line="340" w:lineRule="exact"/>
              <w:jc w:val="both"/>
              <w:rPr>
                <w:rFonts w:cs="Times New Roman"/>
                <w:snapToGrid w:val="0"/>
                <w:sz w:val="22"/>
                <w:szCs w:val="22"/>
              </w:rPr>
            </w:pPr>
            <w:r w:rsidRPr="00A33734">
              <w:rPr>
                <w:rFonts w:cs="Times New Roman"/>
                <w:snapToGrid w:val="0"/>
                <w:sz w:val="22"/>
                <w:szCs w:val="22"/>
                <w:lang w:val="en-US"/>
              </w:rPr>
              <w:t xml:space="preserve">     </w:t>
            </w:r>
            <w:r w:rsidRPr="00A33734">
              <w:rPr>
                <w:rFonts w:cs="Times New Roman"/>
                <w:snapToGrid w:val="0"/>
                <w:sz w:val="22"/>
                <w:szCs w:val="22"/>
              </w:rPr>
              <w:t>365</w:t>
            </w:r>
          </w:p>
          <w:p w:rsidR="000F104D" w:rsidRPr="00A33734" w:rsidRDefault="000F104D" w:rsidP="007857DA">
            <w:pPr>
              <w:tabs>
                <w:tab w:val="left" w:pos="1701"/>
              </w:tabs>
              <w:spacing w:before="120" w:after="120" w:line="340" w:lineRule="exact"/>
              <w:jc w:val="both"/>
              <w:rPr>
                <w:sz w:val="22"/>
                <w:szCs w:val="22"/>
              </w:rPr>
            </w:pPr>
          </w:p>
        </w:tc>
        <w:tc>
          <w:tcPr>
            <w:tcW w:w="3738" w:type="dxa"/>
            <w:vAlign w:val="center"/>
          </w:tcPr>
          <w:p w:rsidR="000F104D" w:rsidRPr="00A33734" w:rsidRDefault="000F104D" w:rsidP="007857DA">
            <w:pPr>
              <w:tabs>
                <w:tab w:val="left" w:pos="1701"/>
              </w:tabs>
              <w:spacing w:before="120" w:after="120" w:line="340" w:lineRule="exact"/>
              <w:jc w:val="both"/>
              <w:rPr>
                <w:sz w:val="22"/>
                <w:szCs w:val="22"/>
              </w:rPr>
            </w:pPr>
            <w:r w:rsidRPr="00A33734">
              <w:rPr>
                <w:sz w:val="22"/>
                <w:szCs w:val="22"/>
              </w:rPr>
              <w:t>I = 0,00016438</w:t>
            </w:r>
          </w:p>
          <w:p w:rsidR="000F104D" w:rsidRPr="00A33734" w:rsidRDefault="000F104D" w:rsidP="007857DA">
            <w:pPr>
              <w:tabs>
                <w:tab w:val="left" w:pos="1701"/>
              </w:tabs>
              <w:spacing w:before="120" w:after="120" w:line="340" w:lineRule="exact"/>
              <w:jc w:val="both"/>
              <w:rPr>
                <w:sz w:val="22"/>
                <w:szCs w:val="22"/>
              </w:rPr>
            </w:pPr>
            <w:r w:rsidRPr="00A33734">
              <w:rPr>
                <w:sz w:val="22"/>
                <w:szCs w:val="22"/>
              </w:rPr>
              <w:t>TX = Percentual da taxa anual = 6%.</w:t>
            </w:r>
          </w:p>
          <w:p w:rsidR="000F104D" w:rsidRPr="00A33734" w:rsidRDefault="000F104D" w:rsidP="007857DA">
            <w:pPr>
              <w:tabs>
                <w:tab w:val="left" w:pos="1701"/>
              </w:tabs>
              <w:spacing w:before="120" w:after="120" w:line="340" w:lineRule="exact"/>
              <w:jc w:val="both"/>
              <w:rPr>
                <w:sz w:val="22"/>
                <w:szCs w:val="22"/>
              </w:rPr>
            </w:pPr>
          </w:p>
        </w:tc>
      </w:tr>
    </w:tbl>
    <w:p w:rsidR="003E1FEB" w:rsidRPr="00A33734" w:rsidRDefault="003E1FEB" w:rsidP="007857DA">
      <w:pPr>
        <w:spacing w:before="120" w:after="120" w:line="276" w:lineRule="auto"/>
        <w:jc w:val="both"/>
        <w:rPr>
          <w:rFonts w:cs="Times New Roman"/>
          <w:b/>
          <w:sz w:val="22"/>
          <w:szCs w:val="22"/>
        </w:rPr>
      </w:pPr>
    </w:p>
    <w:p w:rsidR="00BE4503" w:rsidRPr="00A33734" w:rsidRDefault="00BE4503" w:rsidP="00431819">
      <w:pPr>
        <w:numPr>
          <w:ilvl w:val="0"/>
          <w:numId w:val="1"/>
        </w:numPr>
        <w:tabs>
          <w:tab w:val="left" w:pos="567"/>
        </w:tabs>
        <w:spacing w:before="120" w:after="120" w:line="276" w:lineRule="auto"/>
        <w:ind w:left="0" w:firstLine="0"/>
        <w:jc w:val="both"/>
        <w:rPr>
          <w:rFonts w:cs="Times New Roman"/>
          <w:b/>
          <w:sz w:val="22"/>
          <w:szCs w:val="22"/>
        </w:rPr>
      </w:pPr>
      <w:r w:rsidRPr="00A33734">
        <w:rPr>
          <w:rFonts w:cs="Times New Roman"/>
          <w:b/>
          <w:sz w:val="22"/>
          <w:szCs w:val="22"/>
        </w:rPr>
        <w:t xml:space="preserve"> DAS SANÇÕES ADMINISTRATIVAS.</w:t>
      </w:r>
    </w:p>
    <w:p w:rsidR="00BE4503" w:rsidRPr="00A33734" w:rsidRDefault="00BE4503" w:rsidP="00431819">
      <w:pPr>
        <w:numPr>
          <w:ilvl w:val="1"/>
          <w:numId w:val="1"/>
        </w:numPr>
        <w:spacing w:before="120" w:after="120" w:line="276" w:lineRule="auto"/>
        <w:ind w:left="0" w:firstLine="0"/>
        <w:jc w:val="both"/>
        <w:rPr>
          <w:rFonts w:cs="Times New Roman"/>
          <w:sz w:val="22"/>
          <w:szCs w:val="22"/>
          <w:shd w:val="clear" w:color="auto" w:fill="FFFFFF"/>
        </w:rPr>
      </w:pPr>
      <w:r w:rsidRPr="00A33734">
        <w:rPr>
          <w:rFonts w:cs="Times New Roman"/>
          <w:sz w:val="22"/>
          <w:szCs w:val="22"/>
          <w:shd w:val="clear" w:color="auto" w:fill="FFFFFF"/>
        </w:rPr>
        <w:t>Comete infração administrativa, nos termos da Lei nº 10.520, de 2002, o licitante/adjudicatário</w:t>
      </w:r>
      <w:r w:rsidRPr="00A33734">
        <w:rPr>
          <w:sz w:val="22"/>
          <w:szCs w:val="22"/>
          <w:shd w:val="clear" w:color="auto" w:fill="FFFFFF"/>
        </w:rPr>
        <w:t xml:space="preserve"> </w:t>
      </w:r>
      <w:r w:rsidRPr="00A33734">
        <w:rPr>
          <w:rFonts w:cs="Times New Roman"/>
          <w:sz w:val="22"/>
          <w:szCs w:val="22"/>
          <w:shd w:val="clear" w:color="auto" w:fill="FFFFFF"/>
        </w:rPr>
        <w:t xml:space="preserve">que: </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Não</w:t>
      </w:r>
      <w:r w:rsidR="00BE4503" w:rsidRPr="00A33734">
        <w:rPr>
          <w:rFonts w:cs="Times New Roman"/>
          <w:sz w:val="22"/>
          <w:szCs w:val="22"/>
          <w:shd w:val="clear" w:color="auto" w:fill="FFFFFF"/>
        </w:rPr>
        <w:t xml:space="preserve"> assinar o termo de contrato ou aceitar/retirar o instrumento equivalente, quando convocado dentro do prazo de validade da proposta;</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Apresentar</w:t>
      </w:r>
      <w:r w:rsidR="00BE4503" w:rsidRPr="00A33734">
        <w:rPr>
          <w:sz w:val="22"/>
          <w:szCs w:val="22"/>
          <w:shd w:val="clear" w:color="auto" w:fill="FFFFFF"/>
        </w:rPr>
        <w:t xml:space="preserve"> documentação falsa</w:t>
      </w:r>
      <w:r w:rsidR="00BE4503" w:rsidRPr="00A33734">
        <w:rPr>
          <w:rFonts w:cs="Times New Roman"/>
          <w:sz w:val="22"/>
          <w:szCs w:val="22"/>
          <w:shd w:val="clear" w:color="auto" w:fill="FFFFFF"/>
        </w:rPr>
        <w:t>;</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Deixar</w:t>
      </w:r>
      <w:r w:rsidR="00BE4503" w:rsidRPr="00A33734">
        <w:rPr>
          <w:rFonts w:cs="Times New Roman"/>
          <w:sz w:val="22"/>
          <w:szCs w:val="22"/>
          <w:shd w:val="clear" w:color="auto" w:fill="FFFFFF"/>
        </w:rPr>
        <w:t xml:space="preserve"> de entregar os documentos exigidos no </w:t>
      </w:r>
      <w:r w:rsidR="00BE4503" w:rsidRPr="00A33734">
        <w:rPr>
          <w:sz w:val="22"/>
          <w:szCs w:val="22"/>
          <w:shd w:val="clear" w:color="auto" w:fill="FFFFFF"/>
        </w:rPr>
        <w:t>certame</w:t>
      </w:r>
      <w:r w:rsidR="00BE4503" w:rsidRPr="00A33734">
        <w:rPr>
          <w:rFonts w:cs="Times New Roman"/>
          <w:sz w:val="22"/>
          <w:szCs w:val="22"/>
          <w:shd w:val="clear" w:color="auto" w:fill="FFFFFF"/>
        </w:rPr>
        <w:t>;</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Arial"/>
          <w:sz w:val="22"/>
          <w:szCs w:val="22"/>
        </w:rPr>
        <w:t>Ensejar</w:t>
      </w:r>
      <w:r w:rsidR="00BE4503" w:rsidRPr="00A33734">
        <w:rPr>
          <w:rFonts w:cs="Arial"/>
          <w:sz w:val="22"/>
          <w:szCs w:val="22"/>
        </w:rPr>
        <w:t xml:space="preserve"> o retardamento da execução do objeto;</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Não</w:t>
      </w:r>
      <w:r w:rsidR="00BE4503" w:rsidRPr="00A33734">
        <w:rPr>
          <w:sz w:val="22"/>
          <w:szCs w:val="22"/>
          <w:shd w:val="clear" w:color="auto" w:fill="FFFFFF"/>
        </w:rPr>
        <w:t xml:space="preserve"> mantiver a proposta</w:t>
      </w:r>
      <w:r w:rsidR="00BE4503" w:rsidRPr="00A33734">
        <w:rPr>
          <w:rFonts w:cs="Times New Roman"/>
          <w:sz w:val="22"/>
          <w:szCs w:val="22"/>
          <w:shd w:val="clear" w:color="auto" w:fill="FFFFFF"/>
        </w:rPr>
        <w:t>;</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Cometer</w:t>
      </w:r>
      <w:r w:rsidR="00BE4503" w:rsidRPr="00A33734">
        <w:rPr>
          <w:rFonts w:cs="Times New Roman"/>
          <w:sz w:val="22"/>
          <w:szCs w:val="22"/>
          <w:shd w:val="clear" w:color="auto" w:fill="FFFFFF"/>
        </w:rPr>
        <w:t xml:space="preserve"> fraude fiscal;</w:t>
      </w:r>
    </w:p>
    <w:p w:rsidR="00BE4503" w:rsidRPr="00A33734" w:rsidRDefault="007857DA" w:rsidP="00431819">
      <w:pPr>
        <w:numPr>
          <w:ilvl w:val="2"/>
          <w:numId w:val="1"/>
        </w:numPr>
        <w:tabs>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Comportar</w:t>
      </w:r>
      <w:r w:rsidR="00BE4503" w:rsidRPr="00A33734">
        <w:rPr>
          <w:rFonts w:cs="Times New Roman"/>
          <w:sz w:val="22"/>
          <w:szCs w:val="22"/>
          <w:shd w:val="clear" w:color="auto" w:fill="FFFFFF"/>
        </w:rPr>
        <w:t>-se de modo inidôneo;</w:t>
      </w:r>
    </w:p>
    <w:p w:rsidR="00BE4503" w:rsidRPr="00A33734" w:rsidRDefault="00BE4503" w:rsidP="00431819">
      <w:pPr>
        <w:numPr>
          <w:ilvl w:val="1"/>
          <w:numId w:val="1"/>
        </w:numPr>
        <w:spacing w:before="120" w:after="120" w:line="276" w:lineRule="auto"/>
        <w:ind w:left="0" w:firstLine="0"/>
        <w:jc w:val="both"/>
        <w:rPr>
          <w:rFonts w:cs="Times New Roman"/>
          <w:sz w:val="22"/>
          <w:szCs w:val="22"/>
          <w:shd w:val="clear" w:color="auto" w:fill="FFFFFF"/>
        </w:rPr>
      </w:pPr>
      <w:r w:rsidRPr="00A33734">
        <w:rPr>
          <w:rFonts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E4503" w:rsidRPr="00A33734" w:rsidRDefault="00BE4503" w:rsidP="00431819">
      <w:pPr>
        <w:numPr>
          <w:ilvl w:val="1"/>
          <w:numId w:val="1"/>
        </w:numPr>
        <w:spacing w:before="120" w:after="120" w:line="276" w:lineRule="auto"/>
        <w:ind w:left="0" w:firstLine="0"/>
        <w:jc w:val="both"/>
        <w:rPr>
          <w:rFonts w:cs="Times New Roman"/>
          <w:sz w:val="22"/>
          <w:szCs w:val="22"/>
          <w:shd w:val="clear" w:color="auto" w:fill="FFFFFF"/>
        </w:rPr>
      </w:pPr>
      <w:r w:rsidRPr="00A33734">
        <w:rPr>
          <w:rFonts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rsidR="00BE4503" w:rsidRPr="00A33734" w:rsidRDefault="00BE4503" w:rsidP="00431819">
      <w:pPr>
        <w:numPr>
          <w:ilvl w:val="2"/>
          <w:numId w:val="1"/>
        </w:numPr>
        <w:tabs>
          <w:tab w:val="left" w:pos="709"/>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 xml:space="preserve">Multa de </w:t>
      </w:r>
      <w:r w:rsidR="00C57314" w:rsidRPr="00A33734">
        <w:rPr>
          <w:rFonts w:cs="Times New Roman"/>
          <w:sz w:val="22"/>
          <w:szCs w:val="22"/>
          <w:shd w:val="clear" w:color="auto" w:fill="FFFFFF"/>
        </w:rPr>
        <w:t xml:space="preserve">até </w:t>
      </w:r>
      <w:r w:rsidR="00BF16B2" w:rsidRPr="00A33734">
        <w:rPr>
          <w:rFonts w:cs="Times New Roman"/>
          <w:sz w:val="22"/>
          <w:szCs w:val="22"/>
          <w:shd w:val="clear" w:color="auto" w:fill="FFFFFF"/>
        </w:rPr>
        <w:t>10</w:t>
      </w:r>
      <w:r w:rsidRPr="00A33734">
        <w:rPr>
          <w:rFonts w:cs="Times New Roman"/>
          <w:sz w:val="22"/>
          <w:szCs w:val="22"/>
          <w:shd w:val="clear" w:color="auto" w:fill="FFFFFF"/>
        </w:rPr>
        <w:t>% (</w:t>
      </w:r>
      <w:r w:rsidR="00BF16B2" w:rsidRPr="00A33734">
        <w:rPr>
          <w:rFonts w:cs="Times New Roman"/>
          <w:sz w:val="22"/>
          <w:szCs w:val="22"/>
          <w:shd w:val="clear" w:color="auto" w:fill="FFFFFF"/>
        </w:rPr>
        <w:t>dez</w:t>
      </w:r>
      <w:r w:rsidRPr="00A33734">
        <w:rPr>
          <w:rFonts w:cs="Times New Roman"/>
          <w:sz w:val="22"/>
          <w:szCs w:val="22"/>
          <w:shd w:val="clear" w:color="auto" w:fill="FFFFFF"/>
        </w:rPr>
        <w:t xml:space="preserve"> por cento) sobre o valor estimado do(s) item(s) prejudicado(s) pela conduta do licitante;</w:t>
      </w:r>
    </w:p>
    <w:p w:rsidR="00BE4503" w:rsidRPr="00A33734" w:rsidRDefault="00BE4503" w:rsidP="00431819">
      <w:pPr>
        <w:numPr>
          <w:ilvl w:val="2"/>
          <w:numId w:val="1"/>
        </w:numPr>
        <w:tabs>
          <w:tab w:val="left" w:pos="709"/>
          <w:tab w:val="left" w:pos="1440"/>
          <w:tab w:val="left" w:pos="1560"/>
        </w:tabs>
        <w:autoSpaceDE w:val="0"/>
        <w:snapToGrid w:val="0"/>
        <w:spacing w:before="120" w:after="120" w:line="276" w:lineRule="auto"/>
        <w:ind w:left="709" w:firstLine="0"/>
        <w:jc w:val="both"/>
        <w:rPr>
          <w:rFonts w:cs="Times New Roman"/>
          <w:sz w:val="22"/>
          <w:szCs w:val="22"/>
          <w:shd w:val="clear" w:color="auto" w:fill="FFFFFF"/>
        </w:rPr>
      </w:pPr>
      <w:r w:rsidRPr="00A33734">
        <w:rPr>
          <w:rFonts w:cs="Times New Roman"/>
          <w:sz w:val="22"/>
          <w:szCs w:val="22"/>
          <w:shd w:val="clear" w:color="auto" w:fill="FFFFFF"/>
        </w:rPr>
        <w:t>Impedimento de licitar e de contratar com a União e descredenciamento no SICAF, pelo prazo de até cinco anos;</w:t>
      </w:r>
    </w:p>
    <w:p w:rsidR="00BE4503" w:rsidRPr="00A33734" w:rsidRDefault="00BE4503" w:rsidP="00431819">
      <w:pPr>
        <w:numPr>
          <w:ilvl w:val="1"/>
          <w:numId w:val="1"/>
        </w:numPr>
        <w:spacing w:before="120" w:after="120" w:line="276" w:lineRule="auto"/>
        <w:ind w:left="0" w:firstLine="0"/>
        <w:jc w:val="both"/>
        <w:rPr>
          <w:sz w:val="22"/>
          <w:szCs w:val="22"/>
        </w:rPr>
      </w:pPr>
      <w:r w:rsidRPr="00A33734">
        <w:rPr>
          <w:rFonts w:cs="Times New Roman"/>
          <w:sz w:val="22"/>
          <w:szCs w:val="22"/>
          <w:shd w:val="clear" w:color="auto" w:fill="FFFFFF"/>
        </w:rPr>
        <w:t>A penalidade de multa pode ser aplicada cumulativamente com a sanção de impedimento</w:t>
      </w:r>
      <w:r w:rsidRPr="00A33734">
        <w:rPr>
          <w:sz w:val="22"/>
          <w:szCs w:val="22"/>
          <w:shd w:val="clear" w:color="auto" w:fill="FFFFFF"/>
        </w:rPr>
        <w:t>.</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A aplicação de qualquer das penalidades previstas realizar-se-á em </w:t>
      </w:r>
      <w:r w:rsidRPr="00A33734">
        <w:rPr>
          <w:rFonts w:cs="Times New Roman"/>
          <w:sz w:val="22"/>
          <w:szCs w:val="22"/>
          <w:shd w:val="clear" w:color="auto" w:fill="FFFFFF"/>
        </w:rPr>
        <w:t>processo</w:t>
      </w:r>
      <w:r w:rsidRPr="00A33734">
        <w:rPr>
          <w:rFonts w:cs="Times New Roman"/>
          <w:sz w:val="22"/>
          <w:szCs w:val="22"/>
        </w:rPr>
        <w:t xml:space="preserve"> administrativo que assegurará o contraditório e a ampla defesa ao licitante/adjudicatário, observando-se o procedimento previsto na Lei nº 8.666, de 1993, e subsidiariamente na Lei nº 9.784, de 1999.</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As penalidades serão obrigatoriamente registradas no SICAF.</w:t>
      </w:r>
    </w:p>
    <w:p w:rsidR="00BE4503" w:rsidRPr="00A33734" w:rsidRDefault="00BE4503" w:rsidP="00431819">
      <w:pPr>
        <w:numPr>
          <w:ilvl w:val="1"/>
          <w:numId w:val="1"/>
        </w:numPr>
        <w:spacing w:before="120" w:after="120" w:line="276" w:lineRule="auto"/>
        <w:ind w:left="0" w:firstLine="0"/>
        <w:jc w:val="both"/>
        <w:rPr>
          <w:sz w:val="22"/>
          <w:szCs w:val="22"/>
        </w:rPr>
      </w:pPr>
      <w:r w:rsidRPr="00A33734">
        <w:rPr>
          <w:rFonts w:cs="Times New Roman"/>
          <w:sz w:val="22"/>
          <w:szCs w:val="22"/>
        </w:rPr>
        <w:t xml:space="preserve">As sanções por atos praticados no decorrer da contratação estão previstas no </w:t>
      </w:r>
      <w:r w:rsidRPr="00A33734">
        <w:rPr>
          <w:sz w:val="22"/>
          <w:szCs w:val="22"/>
        </w:rPr>
        <w:t>Termo de Referência.</w:t>
      </w:r>
    </w:p>
    <w:p w:rsidR="00BE4503" w:rsidRPr="00A33734" w:rsidRDefault="00BE4503" w:rsidP="007857DA">
      <w:pPr>
        <w:spacing w:before="120" w:after="120" w:line="276" w:lineRule="auto"/>
        <w:jc w:val="both"/>
        <w:rPr>
          <w:sz w:val="22"/>
          <w:szCs w:val="22"/>
        </w:rPr>
      </w:pPr>
    </w:p>
    <w:p w:rsidR="00BE4503" w:rsidRPr="00A33734" w:rsidRDefault="00BE4503"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 xml:space="preserve">  DA IMPUGNAÇÃO AO EDITAL E DO PEDIDO DE ESCLARECIMENTO</w:t>
      </w:r>
    </w:p>
    <w:p w:rsidR="00BE4503" w:rsidRPr="00A33734" w:rsidRDefault="00BE4503" w:rsidP="007857DA">
      <w:pPr>
        <w:spacing w:before="120" w:after="120" w:line="276" w:lineRule="auto"/>
        <w:jc w:val="both"/>
        <w:rPr>
          <w:rFonts w:cs="Times New Roman"/>
          <w:b/>
          <w:sz w:val="22"/>
          <w:szCs w:val="22"/>
        </w:rPr>
      </w:pP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Até 02 (dois) dias úteis antes da data designada para a abertura da sessão pública, qualquer pessoa poderá impugnar este Edital.</w:t>
      </w:r>
    </w:p>
    <w:p w:rsidR="00BE4503" w:rsidRPr="00A33734" w:rsidRDefault="00BE4503" w:rsidP="00431819">
      <w:pPr>
        <w:pStyle w:val="PargrafodaLista"/>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A impugnação poderá ser realizada por forma eletrônica, pelo e-mail </w:t>
      </w:r>
      <w:r w:rsidR="00191E33" w:rsidRPr="00A33734">
        <w:rPr>
          <w:rFonts w:cs="Times New Roman"/>
          <w:sz w:val="22"/>
          <w:szCs w:val="22"/>
        </w:rPr>
        <w:t>cpl.coad@dpf.gov.br</w:t>
      </w:r>
      <w:r w:rsidRPr="00A33734">
        <w:rPr>
          <w:rFonts w:cs="Times New Roman"/>
          <w:sz w:val="22"/>
          <w:szCs w:val="22"/>
        </w:rPr>
        <w:t>, ou por petição dirigida ou protocolada no endereço</w:t>
      </w:r>
      <w:r w:rsidR="00191E33" w:rsidRPr="00A33734">
        <w:rPr>
          <w:rFonts w:cs="Times New Roman"/>
          <w:sz w:val="22"/>
          <w:szCs w:val="22"/>
        </w:rPr>
        <w:t xml:space="preserve"> </w:t>
      </w:r>
      <w:r w:rsidR="00191E33" w:rsidRPr="00A33734">
        <w:rPr>
          <w:rFonts w:ascii="Ecofont Vera Sans" w:hAnsi="Ecofont Vera Sans"/>
          <w:sz w:val="22"/>
          <w:szCs w:val="22"/>
        </w:rPr>
        <w:t xml:space="preserve">SAS </w:t>
      </w:r>
      <w:proofErr w:type="spellStart"/>
      <w:r w:rsidR="00191E33" w:rsidRPr="00A33734">
        <w:rPr>
          <w:rFonts w:ascii="Ecofont Vera Sans" w:hAnsi="Ecofont Vera Sans"/>
          <w:sz w:val="22"/>
          <w:szCs w:val="22"/>
        </w:rPr>
        <w:t>Qd</w:t>
      </w:r>
      <w:proofErr w:type="spellEnd"/>
      <w:r w:rsidR="00191E33" w:rsidRPr="00A33734">
        <w:rPr>
          <w:rFonts w:ascii="Ecofont Vera Sans" w:hAnsi="Ecofont Vera Sans"/>
          <w:sz w:val="22"/>
          <w:szCs w:val="22"/>
        </w:rPr>
        <w:t xml:space="preserve">. 06 – </w:t>
      </w:r>
      <w:proofErr w:type="spellStart"/>
      <w:r w:rsidR="00191E33" w:rsidRPr="00A33734">
        <w:rPr>
          <w:rFonts w:ascii="Ecofont Vera Sans" w:hAnsi="Ecofont Vera Sans"/>
          <w:sz w:val="22"/>
          <w:szCs w:val="22"/>
        </w:rPr>
        <w:t>Lts</w:t>
      </w:r>
      <w:proofErr w:type="spellEnd"/>
      <w:r w:rsidR="00191E33" w:rsidRPr="00A33734">
        <w:rPr>
          <w:rFonts w:ascii="Ecofont Vera Sans" w:hAnsi="Ecofont Vera Sans"/>
          <w:sz w:val="22"/>
          <w:szCs w:val="22"/>
        </w:rPr>
        <w:t xml:space="preserve"> 09/10 – 1° andar, sala 110, Ed. Sede do Departamento de Polícia Federal, Brasília – DF, nos dias úteis, no horário das 08:00 às 17:00 horas.</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Caberá ao Pregoeiro decidir sobre a impugnação no prazo de até vinte e quatro horas.</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Acolhida a impugnação, será definida e publicada nova data para a realização do certame.</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Os pedidos de esclarecimentos referentes a este processo licitatório deverão ser enviados ao Pregoeiro, até 03 (três) dias úteis anteriores à data designada para abertura da sessão pública, </w:t>
      </w:r>
      <w:r w:rsidRPr="00A33734">
        <w:rPr>
          <w:rFonts w:cs="Times New Roman"/>
          <w:bCs/>
          <w:sz w:val="22"/>
          <w:szCs w:val="22"/>
          <w:lang w:eastAsia="en-US"/>
        </w:rPr>
        <w:t>exclusivamente por meio eletrônico via internet, no endereço indicado no Edital.</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As impugnações e pedidos de esclarecimentos não suspendem os prazos previstos no certame.</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As respostas às impugnações e os esclarecimentos prestados pelo Pregoeiro serão entranhados nos autos do processo licitatório e estarão disponíveis para consulta por qualquer interessado.</w:t>
      </w:r>
    </w:p>
    <w:p w:rsidR="003E1FEB" w:rsidRPr="00A33734" w:rsidRDefault="003E1FEB" w:rsidP="007857DA">
      <w:pPr>
        <w:spacing w:before="120" w:after="120" w:line="276" w:lineRule="auto"/>
        <w:jc w:val="both"/>
        <w:rPr>
          <w:rFonts w:cs="Times New Roman"/>
          <w:sz w:val="22"/>
          <w:szCs w:val="22"/>
        </w:rPr>
      </w:pPr>
    </w:p>
    <w:p w:rsidR="00BE4503" w:rsidRPr="00A33734" w:rsidRDefault="00BE4503" w:rsidP="00431819">
      <w:pPr>
        <w:numPr>
          <w:ilvl w:val="0"/>
          <w:numId w:val="1"/>
        </w:numPr>
        <w:spacing w:before="120" w:after="120" w:line="276" w:lineRule="auto"/>
        <w:ind w:left="0" w:firstLine="0"/>
        <w:jc w:val="both"/>
        <w:rPr>
          <w:rFonts w:cs="Times New Roman"/>
          <w:b/>
          <w:sz w:val="22"/>
          <w:szCs w:val="22"/>
        </w:rPr>
      </w:pPr>
      <w:r w:rsidRPr="00A33734">
        <w:rPr>
          <w:rFonts w:cs="Times New Roman"/>
          <w:b/>
          <w:sz w:val="22"/>
          <w:szCs w:val="22"/>
        </w:rPr>
        <w:t>DAS DISPOSIÇÕES GERAIS</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A homologação do resultado desta licitação não implicará direito à contratação.</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Na contagem dos prazos estabelecidos neste Edital e seus Anexos, excluir-se-á o dia do início e incluir-se-á o do vencimento. Só se iniciam e vencem os prazos em dias de expediente na Administração.</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desatendimento de exigências formais não essenciais não importará o afastamento do licitante, desde que seja possível o aproveitamento do ato, observados os princípios da isonomia e do interesse público.</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Em caso de divergência entre disposições deste Edital e de seus anexos ou demais peças que compõem o processo, prevalecerá as deste Edital.</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O Edital está disponibilizado, na íntegra, no endereço eletrônico</w:t>
      </w:r>
      <w:r w:rsidR="00191E33" w:rsidRPr="00A33734">
        <w:rPr>
          <w:rFonts w:cs="Times New Roman"/>
          <w:sz w:val="22"/>
          <w:szCs w:val="22"/>
        </w:rPr>
        <w:t xml:space="preserve"> </w:t>
      </w:r>
      <w:hyperlink r:id="rId13" w:history="1">
        <w:r w:rsidR="00191E33" w:rsidRPr="00893A73">
          <w:rPr>
            <w:rFonts w:cs="Times New Roman"/>
          </w:rPr>
          <w:t>www.comprasnet.gov.br</w:t>
        </w:r>
      </w:hyperlink>
      <w:r w:rsidR="00191E33" w:rsidRPr="00893A73">
        <w:rPr>
          <w:rFonts w:cs="Times New Roman"/>
          <w:sz w:val="22"/>
          <w:szCs w:val="22"/>
        </w:rPr>
        <w:t xml:space="preserve"> e </w:t>
      </w:r>
      <w:hyperlink r:id="rId14" w:history="1">
        <w:r w:rsidR="00191E33" w:rsidRPr="00893A73">
          <w:rPr>
            <w:rFonts w:cs="Times New Roman"/>
          </w:rPr>
          <w:t>http://www.policiafederal.gov.br</w:t>
        </w:r>
      </w:hyperlink>
      <w:r w:rsidR="00191E33" w:rsidRPr="00893A73">
        <w:rPr>
          <w:rFonts w:cs="Times New Roman"/>
          <w:sz w:val="22"/>
          <w:szCs w:val="22"/>
        </w:rPr>
        <w:t xml:space="preserve"> &gt; Serviço</w:t>
      </w:r>
      <w:r w:rsidR="00EF266D" w:rsidRPr="00893A73">
        <w:rPr>
          <w:rFonts w:cs="Times New Roman"/>
          <w:sz w:val="22"/>
          <w:szCs w:val="22"/>
        </w:rPr>
        <w:t>s &gt; Licitações &gt; Licitações 2014</w:t>
      </w:r>
      <w:r w:rsidR="00191E33" w:rsidRPr="00893A73">
        <w:rPr>
          <w:rFonts w:cs="Times New Roman"/>
          <w:sz w:val="22"/>
          <w:szCs w:val="22"/>
        </w:rPr>
        <w:t xml:space="preserve"> &gt; Distrito Federal &gt; Órgãos Centrais &gt; DLOG &gt; Pregões e também poderá ser lido e/ou obtido no endereço SAS </w:t>
      </w:r>
      <w:proofErr w:type="spellStart"/>
      <w:r w:rsidR="00191E33" w:rsidRPr="00893A73">
        <w:rPr>
          <w:rFonts w:cs="Times New Roman"/>
          <w:sz w:val="22"/>
          <w:szCs w:val="22"/>
        </w:rPr>
        <w:t>Qd</w:t>
      </w:r>
      <w:proofErr w:type="spellEnd"/>
      <w:r w:rsidR="00191E33" w:rsidRPr="00893A73">
        <w:rPr>
          <w:rFonts w:cs="Times New Roman"/>
          <w:sz w:val="22"/>
          <w:szCs w:val="22"/>
        </w:rPr>
        <w:t xml:space="preserve">. 06 – </w:t>
      </w:r>
      <w:proofErr w:type="spellStart"/>
      <w:r w:rsidR="00191E33" w:rsidRPr="00893A73">
        <w:rPr>
          <w:rFonts w:cs="Times New Roman"/>
          <w:sz w:val="22"/>
          <w:szCs w:val="22"/>
        </w:rPr>
        <w:t>Lts</w:t>
      </w:r>
      <w:proofErr w:type="spellEnd"/>
      <w:r w:rsidR="00191E33" w:rsidRPr="00893A73">
        <w:rPr>
          <w:rFonts w:cs="Times New Roman"/>
          <w:sz w:val="22"/>
          <w:szCs w:val="22"/>
        </w:rPr>
        <w:t xml:space="preserve"> 09/10 – 1° andar, sala 110, Ed. Sede do Departamento de Polícia Federal, Brasília – DF, nos dias úteis, no horário das 08:00 às 17:00 horas, mesmo endereço e período no qual os autos do processo administrativo permanecerão com vista franqueada aos </w:t>
      </w:r>
      <w:r w:rsidR="00596F81" w:rsidRPr="00893A73">
        <w:rPr>
          <w:rFonts w:cs="Times New Roman"/>
          <w:sz w:val="22"/>
          <w:szCs w:val="22"/>
        </w:rPr>
        <w:t>interessados.</w:t>
      </w:r>
    </w:p>
    <w:p w:rsidR="00BE4503" w:rsidRPr="00A33734" w:rsidRDefault="00BE4503" w:rsidP="00431819">
      <w:pPr>
        <w:numPr>
          <w:ilvl w:val="1"/>
          <w:numId w:val="1"/>
        </w:numPr>
        <w:spacing w:before="120" w:after="120" w:line="276" w:lineRule="auto"/>
        <w:ind w:left="0" w:firstLine="0"/>
        <w:jc w:val="both"/>
        <w:rPr>
          <w:rFonts w:cs="Times New Roman"/>
          <w:sz w:val="22"/>
          <w:szCs w:val="22"/>
        </w:rPr>
      </w:pPr>
      <w:r w:rsidRPr="00A33734">
        <w:rPr>
          <w:rFonts w:cs="Times New Roman"/>
          <w:sz w:val="22"/>
          <w:szCs w:val="22"/>
        </w:rPr>
        <w:t>Integram este Edital, para todos os fins e efeitos, os seguintes anexos:</w:t>
      </w:r>
    </w:p>
    <w:p w:rsidR="003E1FEB" w:rsidRPr="00A33734" w:rsidRDefault="003E1FEB" w:rsidP="00431819">
      <w:pPr>
        <w:numPr>
          <w:ilvl w:val="2"/>
          <w:numId w:val="1"/>
        </w:numPr>
        <w:tabs>
          <w:tab w:val="left" w:pos="1440"/>
          <w:tab w:val="left" w:pos="1560"/>
          <w:tab w:val="left" w:pos="1701"/>
        </w:tabs>
        <w:autoSpaceDE w:val="0"/>
        <w:snapToGrid w:val="0"/>
        <w:spacing w:before="120" w:after="120" w:line="276" w:lineRule="auto"/>
        <w:ind w:left="709" w:firstLine="0"/>
        <w:jc w:val="both"/>
        <w:rPr>
          <w:rFonts w:cs="Times New Roman"/>
          <w:sz w:val="22"/>
          <w:szCs w:val="22"/>
        </w:rPr>
      </w:pPr>
      <w:r w:rsidRPr="00A33734">
        <w:rPr>
          <w:rFonts w:cs="Times New Roman"/>
          <w:sz w:val="22"/>
          <w:szCs w:val="22"/>
        </w:rPr>
        <w:t>ANEXO I - Termo de Referência;</w:t>
      </w:r>
    </w:p>
    <w:p w:rsidR="003E1FEB" w:rsidRPr="00A33734" w:rsidRDefault="003E1FEB" w:rsidP="00431819">
      <w:pPr>
        <w:numPr>
          <w:ilvl w:val="2"/>
          <w:numId w:val="1"/>
        </w:numPr>
        <w:tabs>
          <w:tab w:val="left" w:pos="1440"/>
          <w:tab w:val="left" w:pos="1560"/>
          <w:tab w:val="left" w:pos="1701"/>
        </w:tabs>
        <w:autoSpaceDE w:val="0"/>
        <w:snapToGrid w:val="0"/>
        <w:spacing w:before="120" w:after="120" w:line="276" w:lineRule="auto"/>
        <w:ind w:left="709" w:firstLine="0"/>
        <w:jc w:val="both"/>
        <w:rPr>
          <w:rFonts w:cs="Times New Roman"/>
          <w:sz w:val="22"/>
          <w:szCs w:val="22"/>
        </w:rPr>
      </w:pPr>
      <w:r w:rsidRPr="00A33734">
        <w:rPr>
          <w:rFonts w:cs="Times New Roman"/>
          <w:bCs/>
          <w:iCs/>
          <w:sz w:val="22"/>
          <w:szCs w:val="22"/>
        </w:rPr>
        <w:t xml:space="preserve">ANEXO II – Minuta de Termo </w:t>
      </w:r>
      <w:r w:rsidR="00A33734" w:rsidRPr="00A33734">
        <w:rPr>
          <w:rFonts w:cs="Times New Roman"/>
          <w:bCs/>
          <w:iCs/>
          <w:sz w:val="22"/>
          <w:szCs w:val="22"/>
        </w:rPr>
        <w:t>de Contrato.</w:t>
      </w:r>
    </w:p>
    <w:p w:rsidR="00BE4503" w:rsidRPr="00A33734" w:rsidRDefault="00BE4503" w:rsidP="007857DA">
      <w:pPr>
        <w:spacing w:before="120" w:after="120" w:line="276" w:lineRule="auto"/>
        <w:jc w:val="both"/>
        <w:rPr>
          <w:rFonts w:cs="Times New Roman"/>
          <w:iCs/>
          <w:sz w:val="22"/>
          <w:szCs w:val="22"/>
        </w:rPr>
      </w:pPr>
    </w:p>
    <w:p w:rsidR="00BE4503" w:rsidRPr="00A33734" w:rsidRDefault="00BE4503" w:rsidP="007857DA">
      <w:pPr>
        <w:spacing w:before="120" w:after="120" w:line="276" w:lineRule="auto"/>
        <w:jc w:val="center"/>
        <w:rPr>
          <w:rFonts w:cs="Times New Roman"/>
          <w:sz w:val="22"/>
          <w:szCs w:val="22"/>
        </w:rPr>
      </w:pPr>
      <w:proofErr w:type="gramStart"/>
      <w:r w:rsidRPr="00A33734">
        <w:rPr>
          <w:rFonts w:cs="Times New Roman"/>
          <w:sz w:val="22"/>
          <w:szCs w:val="22"/>
        </w:rPr>
        <w:t>............... ,</w:t>
      </w:r>
      <w:proofErr w:type="gramEnd"/>
      <w:r w:rsidRPr="00A33734">
        <w:rPr>
          <w:rFonts w:cs="Times New Roman"/>
          <w:sz w:val="22"/>
          <w:szCs w:val="22"/>
        </w:rPr>
        <w:t xml:space="preserve"> ......... de ....................</w:t>
      </w:r>
      <w:r w:rsidR="00EF266D" w:rsidRPr="00A33734">
        <w:rPr>
          <w:rFonts w:cs="Times New Roman"/>
          <w:sz w:val="22"/>
          <w:szCs w:val="22"/>
        </w:rPr>
        <w:t xml:space="preserve">...... </w:t>
      </w:r>
      <w:proofErr w:type="gramStart"/>
      <w:r w:rsidR="00EF266D" w:rsidRPr="00A33734">
        <w:rPr>
          <w:rFonts w:cs="Times New Roman"/>
          <w:sz w:val="22"/>
          <w:szCs w:val="22"/>
        </w:rPr>
        <w:t>de</w:t>
      </w:r>
      <w:proofErr w:type="gramEnd"/>
      <w:r w:rsidR="00EF266D" w:rsidRPr="00A33734">
        <w:rPr>
          <w:rFonts w:cs="Times New Roman"/>
          <w:sz w:val="22"/>
          <w:szCs w:val="22"/>
        </w:rPr>
        <w:t xml:space="preserve"> 201</w:t>
      </w:r>
      <w:r w:rsidR="00893A73">
        <w:rPr>
          <w:rFonts w:cs="Times New Roman"/>
          <w:sz w:val="22"/>
          <w:szCs w:val="22"/>
        </w:rPr>
        <w:t>5</w:t>
      </w:r>
    </w:p>
    <w:p w:rsidR="00BE4503" w:rsidRPr="00A33734" w:rsidRDefault="00BE4503" w:rsidP="007857DA">
      <w:pPr>
        <w:spacing w:before="120" w:after="120" w:line="276" w:lineRule="auto"/>
        <w:jc w:val="both"/>
        <w:rPr>
          <w:rFonts w:cs="Times New Roman"/>
          <w:sz w:val="22"/>
          <w:szCs w:val="22"/>
        </w:rPr>
      </w:pPr>
    </w:p>
    <w:p w:rsidR="00BE4503" w:rsidRPr="00A33734" w:rsidRDefault="00BE4503" w:rsidP="007857DA">
      <w:pPr>
        <w:spacing w:before="120" w:after="120"/>
        <w:jc w:val="center"/>
        <w:rPr>
          <w:rFonts w:cs="Times New Roman"/>
          <w:sz w:val="22"/>
          <w:szCs w:val="22"/>
        </w:rPr>
      </w:pPr>
      <w:r w:rsidRPr="00A33734">
        <w:rPr>
          <w:rFonts w:cs="Times New Roman"/>
          <w:b/>
          <w:bCs/>
          <w:iCs/>
          <w:sz w:val="22"/>
          <w:szCs w:val="22"/>
        </w:rPr>
        <w:t>Assinatura da autoridade competente</w:t>
      </w:r>
    </w:p>
    <w:sectPr w:rsidR="00BE4503" w:rsidRPr="00A33734" w:rsidSect="00596F81">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995" w:rsidRDefault="00D37995">
      <w:r>
        <w:separator/>
      </w:r>
    </w:p>
  </w:endnote>
  <w:endnote w:type="continuationSeparator" w:id="0">
    <w:p w:rsidR="00D37995" w:rsidRDefault="00D3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Ecofont Vera 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995" w:rsidRDefault="00D37995">
      <w:r>
        <w:separator/>
      </w:r>
    </w:p>
  </w:footnote>
  <w:footnote w:type="continuationSeparator" w:id="0">
    <w:p w:rsidR="00D37995" w:rsidRDefault="00D37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34" w:rsidRDefault="00A3373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0FC0A66A"/>
    <w:lvl w:ilvl="0">
      <w:start w:val="1"/>
      <w:numFmt w:val="decimal"/>
      <w:lvlText w:val="%1."/>
      <w:lvlJc w:val="left"/>
      <w:pPr>
        <w:ind w:left="360" w:hanging="360"/>
      </w:pPr>
    </w:lvl>
    <w:lvl w:ilvl="1">
      <w:start w:val="1"/>
      <w:numFmt w:val="decimal"/>
      <w:lvlText w:val="%1.%2."/>
      <w:lvlJc w:val="left"/>
      <w:pPr>
        <w:ind w:left="1142" w:hanging="432"/>
      </w:pPr>
      <w:rPr>
        <w:b/>
        <w:color w:val="auto"/>
      </w:rPr>
    </w:lvl>
    <w:lvl w:ilvl="2">
      <w:start w:val="1"/>
      <w:numFmt w:val="decimal"/>
      <w:lvlText w:val="%1.%2.%3."/>
      <w:lvlJc w:val="left"/>
      <w:pPr>
        <w:ind w:left="1214" w:hanging="504"/>
      </w:pPr>
      <w:rPr>
        <w:b/>
        <w:color w:val="auto"/>
      </w:rPr>
    </w:lvl>
    <w:lvl w:ilvl="3">
      <w:start w:val="1"/>
      <w:numFmt w:val="decimal"/>
      <w:lvlText w:val="%1.%2.%3.%4."/>
      <w:lvlJc w:val="left"/>
      <w:pPr>
        <w:ind w:left="5043"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90C374F"/>
    <w:multiLevelType w:val="multilevel"/>
    <w:tmpl w:val="95569470"/>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7AB0"/>
    <w:rsid w:val="00015969"/>
    <w:rsid w:val="00017735"/>
    <w:rsid w:val="0002260C"/>
    <w:rsid w:val="00022973"/>
    <w:rsid w:val="0002306D"/>
    <w:rsid w:val="000242C8"/>
    <w:rsid w:val="00027155"/>
    <w:rsid w:val="000318BA"/>
    <w:rsid w:val="00034A29"/>
    <w:rsid w:val="00040957"/>
    <w:rsid w:val="000447F5"/>
    <w:rsid w:val="0004584A"/>
    <w:rsid w:val="00047D73"/>
    <w:rsid w:val="00056433"/>
    <w:rsid w:val="00060414"/>
    <w:rsid w:val="00062853"/>
    <w:rsid w:val="0006445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3621"/>
    <w:rsid w:val="00094321"/>
    <w:rsid w:val="000A102A"/>
    <w:rsid w:val="000A1A7B"/>
    <w:rsid w:val="000A1B88"/>
    <w:rsid w:val="000A23DA"/>
    <w:rsid w:val="000A674F"/>
    <w:rsid w:val="000B0288"/>
    <w:rsid w:val="000B6451"/>
    <w:rsid w:val="000B7B55"/>
    <w:rsid w:val="000C123B"/>
    <w:rsid w:val="000C21AD"/>
    <w:rsid w:val="000C2C16"/>
    <w:rsid w:val="000C3CC4"/>
    <w:rsid w:val="000C670A"/>
    <w:rsid w:val="000D25F8"/>
    <w:rsid w:val="000D2AC3"/>
    <w:rsid w:val="000E0934"/>
    <w:rsid w:val="000E5A46"/>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325E"/>
    <w:rsid w:val="00144254"/>
    <w:rsid w:val="00146BDF"/>
    <w:rsid w:val="00150295"/>
    <w:rsid w:val="001516EA"/>
    <w:rsid w:val="0015338D"/>
    <w:rsid w:val="00153E25"/>
    <w:rsid w:val="00154505"/>
    <w:rsid w:val="0015684D"/>
    <w:rsid w:val="00160BBD"/>
    <w:rsid w:val="00160DA4"/>
    <w:rsid w:val="00163235"/>
    <w:rsid w:val="0016584A"/>
    <w:rsid w:val="00170CE1"/>
    <w:rsid w:val="00174CAA"/>
    <w:rsid w:val="00177CD5"/>
    <w:rsid w:val="001817D2"/>
    <w:rsid w:val="0018218A"/>
    <w:rsid w:val="00184086"/>
    <w:rsid w:val="001904A8"/>
    <w:rsid w:val="00191E33"/>
    <w:rsid w:val="00193108"/>
    <w:rsid w:val="001A1732"/>
    <w:rsid w:val="001A2CE9"/>
    <w:rsid w:val="001A3A05"/>
    <w:rsid w:val="001A3E18"/>
    <w:rsid w:val="001B005B"/>
    <w:rsid w:val="001B0407"/>
    <w:rsid w:val="001C3F32"/>
    <w:rsid w:val="001C48B6"/>
    <w:rsid w:val="001C4C04"/>
    <w:rsid w:val="001C694F"/>
    <w:rsid w:val="001C721E"/>
    <w:rsid w:val="001D4F39"/>
    <w:rsid w:val="001D7B52"/>
    <w:rsid w:val="001E3AAF"/>
    <w:rsid w:val="001E3F3E"/>
    <w:rsid w:val="001F0A6E"/>
    <w:rsid w:val="001F1E52"/>
    <w:rsid w:val="001F26AD"/>
    <w:rsid w:val="001F39FA"/>
    <w:rsid w:val="00202A04"/>
    <w:rsid w:val="00203BD2"/>
    <w:rsid w:val="00205197"/>
    <w:rsid w:val="0020593D"/>
    <w:rsid w:val="002077E4"/>
    <w:rsid w:val="00207B98"/>
    <w:rsid w:val="00210001"/>
    <w:rsid w:val="0021106D"/>
    <w:rsid w:val="00214392"/>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40CD"/>
    <w:rsid w:val="00276ECC"/>
    <w:rsid w:val="00281152"/>
    <w:rsid w:val="002872C6"/>
    <w:rsid w:val="0028765E"/>
    <w:rsid w:val="0029037D"/>
    <w:rsid w:val="002937D4"/>
    <w:rsid w:val="002A17C6"/>
    <w:rsid w:val="002A5B83"/>
    <w:rsid w:val="002A7EFA"/>
    <w:rsid w:val="002B00F4"/>
    <w:rsid w:val="002B16DA"/>
    <w:rsid w:val="002B4E01"/>
    <w:rsid w:val="002B5E72"/>
    <w:rsid w:val="002C54C1"/>
    <w:rsid w:val="002C661C"/>
    <w:rsid w:val="002D78B4"/>
    <w:rsid w:val="002D7C8E"/>
    <w:rsid w:val="002E160F"/>
    <w:rsid w:val="002E3F91"/>
    <w:rsid w:val="002E41C6"/>
    <w:rsid w:val="002E4709"/>
    <w:rsid w:val="002E480D"/>
    <w:rsid w:val="002E5F6B"/>
    <w:rsid w:val="002F084D"/>
    <w:rsid w:val="002F308B"/>
    <w:rsid w:val="00310B4A"/>
    <w:rsid w:val="00314264"/>
    <w:rsid w:val="00314576"/>
    <w:rsid w:val="003153A5"/>
    <w:rsid w:val="00321B33"/>
    <w:rsid w:val="003238C3"/>
    <w:rsid w:val="003239DD"/>
    <w:rsid w:val="00324BCD"/>
    <w:rsid w:val="00324F30"/>
    <w:rsid w:val="00325023"/>
    <w:rsid w:val="00325FD8"/>
    <w:rsid w:val="003265B9"/>
    <w:rsid w:val="00327232"/>
    <w:rsid w:val="00331182"/>
    <w:rsid w:val="0033678D"/>
    <w:rsid w:val="00336E39"/>
    <w:rsid w:val="00340EE0"/>
    <w:rsid w:val="00343032"/>
    <w:rsid w:val="0034664B"/>
    <w:rsid w:val="0035658A"/>
    <w:rsid w:val="0036029D"/>
    <w:rsid w:val="00364141"/>
    <w:rsid w:val="00367EF6"/>
    <w:rsid w:val="00373F2A"/>
    <w:rsid w:val="003779A2"/>
    <w:rsid w:val="0038139C"/>
    <w:rsid w:val="00386157"/>
    <w:rsid w:val="00386ADE"/>
    <w:rsid w:val="00390815"/>
    <w:rsid w:val="00391E14"/>
    <w:rsid w:val="00392204"/>
    <w:rsid w:val="00393888"/>
    <w:rsid w:val="003959F6"/>
    <w:rsid w:val="003A73C1"/>
    <w:rsid w:val="003B791E"/>
    <w:rsid w:val="003C4C35"/>
    <w:rsid w:val="003C609E"/>
    <w:rsid w:val="003C6275"/>
    <w:rsid w:val="003E1FEB"/>
    <w:rsid w:val="003E2073"/>
    <w:rsid w:val="003E299A"/>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819"/>
    <w:rsid w:val="00431EDA"/>
    <w:rsid w:val="00431F33"/>
    <w:rsid w:val="0043231C"/>
    <w:rsid w:val="00432470"/>
    <w:rsid w:val="0043492A"/>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49F0"/>
    <w:rsid w:val="004C53FE"/>
    <w:rsid w:val="004D374E"/>
    <w:rsid w:val="004D4585"/>
    <w:rsid w:val="004D65A4"/>
    <w:rsid w:val="004E0194"/>
    <w:rsid w:val="004E35AA"/>
    <w:rsid w:val="004E3779"/>
    <w:rsid w:val="004E5811"/>
    <w:rsid w:val="004F45F2"/>
    <w:rsid w:val="004F5DF9"/>
    <w:rsid w:val="004F66B4"/>
    <w:rsid w:val="004F6C38"/>
    <w:rsid w:val="004F768A"/>
    <w:rsid w:val="004F78C6"/>
    <w:rsid w:val="0050224C"/>
    <w:rsid w:val="005037A6"/>
    <w:rsid w:val="00512D53"/>
    <w:rsid w:val="00514883"/>
    <w:rsid w:val="005164D3"/>
    <w:rsid w:val="00520955"/>
    <w:rsid w:val="00524EBA"/>
    <w:rsid w:val="00525260"/>
    <w:rsid w:val="0053132E"/>
    <w:rsid w:val="0053474B"/>
    <w:rsid w:val="005523D0"/>
    <w:rsid w:val="00555095"/>
    <w:rsid w:val="00555863"/>
    <w:rsid w:val="00561C04"/>
    <w:rsid w:val="0056213B"/>
    <w:rsid w:val="00562F82"/>
    <w:rsid w:val="005634BD"/>
    <w:rsid w:val="00564913"/>
    <w:rsid w:val="005800D8"/>
    <w:rsid w:val="005846C9"/>
    <w:rsid w:val="005873FC"/>
    <w:rsid w:val="00590EAF"/>
    <w:rsid w:val="00595DA6"/>
    <w:rsid w:val="00596F81"/>
    <w:rsid w:val="005A510C"/>
    <w:rsid w:val="005A6A91"/>
    <w:rsid w:val="005B0066"/>
    <w:rsid w:val="005B445D"/>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44DF8"/>
    <w:rsid w:val="006520F3"/>
    <w:rsid w:val="00655AAF"/>
    <w:rsid w:val="00656A30"/>
    <w:rsid w:val="00657E82"/>
    <w:rsid w:val="006673E7"/>
    <w:rsid w:val="00674964"/>
    <w:rsid w:val="00680B7E"/>
    <w:rsid w:val="00683B94"/>
    <w:rsid w:val="00686692"/>
    <w:rsid w:val="00693033"/>
    <w:rsid w:val="00693321"/>
    <w:rsid w:val="00694893"/>
    <w:rsid w:val="00694DD9"/>
    <w:rsid w:val="00697EDB"/>
    <w:rsid w:val="006A12B1"/>
    <w:rsid w:val="006A4E44"/>
    <w:rsid w:val="006A5F42"/>
    <w:rsid w:val="006A6103"/>
    <w:rsid w:val="006B10ED"/>
    <w:rsid w:val="006B156A"/>
    <w:rsid w:val="006B51B2"/>
    <w:rsid w:val="006B58EB"/>
    <w:rsid w:val="006C17A0"/>
    <w:rsid w:val="006D27E3"/>
    <w:rsid w:val="006D4135"/>
    <w:rsid w:val="006E09F2"/>
    <w:rsid w:val="006E1E3F"/>
    <w:rsid w:val="006E721C"/>
    <w:rsid w:val="006F0832"/>
    <w:rsid w:val="006F3EE2"/>
    <w:rsid w:val="00700CBD"/>
    <w:rsid w:val="007028C7"/>
    <w:rsid w:val="00704462"/>
    <w:rsid w:val="00710C7E"/>
    <w:rsid w:val="00717F5E"/>
    <w:rsid w:val="00721633"/>
    <w:rsid w:val="00726F2D"/>
    <w:rsid w:val="00733DE0"/>
    <w:rsid w:val="007357C5"/>
    <w:rsid w:val="00737AA8"/>
    <w:rsid w:val="0074032D"/>
    <w:rsid w:val="00740D25"/>
    <w:rsid w:val="00741328"/>
    <w:rsid w:val="007454DF"/>
    <w:rsid w:val="00751D83"/>
    <w:rsid w:val="00751E30"/>
    <w:rsid w:val="00754359"/>
    <w:rsid w:val="00756F76"/>
    <w:rsid w:val="00762206"/>
    <w:rsid w:val="007679B9"/>
    <w:rsid w:val="00776572"/>
    <w:rsid w:val="0077738D"/>
    <w:rsid w:val="007774C2"/>
    <w:rsid w:val="007857DA"/>
    <w:rsid w:val="00787D28"/>
    <w:rsid w:val="0079000C"/>
    <w:rsid w:val="00790D93"/>
    <w:rsid w:val="00791CD7"/>
    <w:rsid w:val="0079430D"/>
    <w:rsid w:val="0079754C"/>
    <w:rsid w:val="007A1395"/>
    <w:rsid w:val="007B19CE"/>
    <w:rsid w:val="007B1E92"/>
    <w:rsid w:val="007B43C2"/>
    <w:rsid w:val="007B7C23"/>
    <w:rsid w:val="007C0255"/>
    <w:rsid w:val="007C09C8"/>
    <w:rsid w:val="007C0C22"/>
    <w:rsid w:val="007C13ED"/>
    <w:rsid w:val="007C2707"/>
    <w:rsid w:val="007C2DD4"/>
    <w:rsid w:val="007C3FBE"/>
    <w:rsid w:val="007D1F3C"/>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C89"/>
    <w:rsid w:val="00831204"/>
    <w:rsid w:val="00831208"/>
    <w:rsid w:val="00835A02"/>
    <w:rsid w:val="00840F96"/>
    <w:rsid w:val="008429CF"/>
    <w:rsid w:val="008446E2"/>
    <w:rsid w:val="00845B40"/>
    <w:rsid w:val="00847E19"/>
    <w:rsid w:val="00850CD3"/>
    <w:rsid w:val="0085112C"/>
    <w:rsid w:val="008546AA"/>
    <w:rsid w:val="008601A9"/>
    <w:rsid w:val="00863F9E"/>
    <w:rsid w:val="00864D69"/>
    <w:rsid w:val="00865B0D"/>
    <w:rsid w:val="00871B33"/>
    <w:rsid w:val="00872949"/>
    <w:rsid w:val="00884360"/>
    <w:rsid w:val="008864CD"/>
    <w:rsid w:val="00886789"/>
    <w:rsid w:val="00887874"/>
    <w:rsid w:val="00891F59"/>
    <w:rsid w:val="008927D7"/>
    <w:rsid w:val="00893A73"/>
    <w:rsid w:val="008941DB"/>
    <w:rsid w:val="0089596A"/>
    <w:rsid w:val="008A16EA"/>
    <w:rsid w:val="008B6162"/>
    <w:rsid w:val="008C04DF"/>
    <w:rsid w:val="008C1897"/>
    <w:rsid w:val="008C1971"/>
    <w:rsid w:val="008C798F"/>
    <w:rsid w:val="008D1B92"/>
    <w:rsid w:val="008D2CAF"/>
    <w:rsid w:val="008D3ACE"/>
    <w:rsid w:val="008D51CC"/>
    <w:rsid w:val="008E417C"/>
    <w:rsid w:val="008E4F95"/>
    <w:rsid w:val="008F2235"/>
    <w:rsid w:val="008F4D52"/>
    <w:rsid w:val="008F4E41"/>
    <w:rsid w:val="0090408D"/>
    <w:rsid w:val="00904E6B"/>
    <w:rsid w:val="00906EEC"/>
    <w:rsid w:val="009104E0"/>
    <w:rsid w:val="00914204"/>
    <w:rsid w:val="00915C7E"/>
    <w:rsid w:val="00922606"/>
    <w:rsid w:val="00922D31"/>
    <w:rsid w:val="0092559F"/>
    <w:rsid w:val="00931141"/>
    <w:rsid w:val="00934A9B"/>
    <w:rsid w:val="00935665"/>
    <w:rsid w:val="00935B30"/>
    <w:rsid w:val="00936A4E"/>
    <w:rsid w:val="00941580"/>
    <w:rsid w:val="009449BB"/>
    <w:rsid w:val="00944E0C"/>
    <w:rsid w:val="0094584F"/>
    <w:rsid w:val="00945BBF"/>
    <w:rsid w:val="00950D81"/>
    <w:rsid w:val="009543EB"/>
    <w:rsid w:val="009623AB"/>
    <w:rsid w:val="00967BE5"/>
    <w:rsid w:val="00970A6B"/>
    <w:rsid w:val="009762B8"/>
    <w:rsid w:val="009763C4"/>
    <w:rsid w:val="009803F1"/>
    <w:rsid w:val="009822D7"/>
    <w:rsid w:val="009824D1"/>
    <w:rsid w:val="009844F7"/>
    <w:rsid w:val="0099079E"/>
    <w:rsid w:val="00991467"/>
    <w:rsid w:val="00995FFD"/>
    <w:rsid w:val="009A37AB"/>
    <w:rsid w:val="009A45B0"/>
    <w:rsid w:val="009A6A6F"/>
    <w:rsid w:val="009B1B69"/>
    <w:rsid w:val="009C470D"/>
    <w:rsid w:val="009C638B"/>
    <w:rsid w:val="009D0AB9"/>
    <w:rsid w:val="009D3626"/>
    <w:rsid w:val="009D4667"/>
    <w:rsid w:val="009D68FB"/>
    <w:rsid w:val="009E04B3"/>
    <w:rsid w:val="009E0DFC"/>
    <w:rsid w:val="009E1880"/>
    <w:rsid w:val="009E5B74"/>
    <w:rsid w:val="009E7C14"/>
    <w:rsid w:val="009F419C"/>
    <w:rsid w:val="009F43E0"/>
    <w:rsid w:val="009F63D7"/>
    <w:rsid w:val="00A055A5"/>
    <w:rsid w:val="00A120B1"/>
    <w:rsid w:val="00A12A7C"/>
    <w:rsid w:val="00A1330E"/>
    <w:rsid w:val="00A14A64"/>
    <w:rsid w:val="00A317FD"/>
    <w:rsid w:val="00A33734"/>
    <w:rsid w:val="00A402A1"/>
    <w:rsid w:val="00A44175"/>
    <w:rsid w:val="00A44914"/>
    <w:rsid w:val="00A50D22"/>
    <w:rsid w:val="00A512C3"/>
    <w:rsid w:val="00A546F6"/>
    <w:rsid w:val="00A571FE"/>
    <w:rsid w:val="00A60395"/>
    <w:rsid w:val="00A6287E"/>
    <w:rsid w:val="00A71EFB"/>
    <w:rsid w:val="00A759BD"/>
    <w:rsid w:val="00A77502"/>
    <w:rsid w:val="00A77C2C"/>
    <w:rsid w:val="00A80062"/>
    <w:rsid w:val="00A856EB"/>
    <w:rsid w:val="00A9022E"/>
    <w:rsid w:val="00A9798A"/>
    <w:rsid w:val="00AA1165"/>
    <w:rsid w:val="00AA3F31"/>
    <w:rsid w:val="00AA4625"/>
    <w:rsid w:val="00AB1D7F"/>
    <w:rsid w:val="00AB1F1A"/>
    <w:rsid w:val="00AB26F7"/>
    <w:rsid w:val="00AC4F34"/>
    <w:rsid w:val="00AC6EC2"/>
    <w:rsid w:val="00AE3A63"/>
    <w:rsid w:val="00AE5435"/>
    <w:rsid w:val="00AF2255"/>
    <w:rsid w:val="00AF3ABE"/>
    <w:rsid w:val="00AF6959"/>
    <w:rsid w:val="00B00520"/>
    <w:rsid w:val="00B005DC"/>
    <w:rsid w:val="00B00F8E"/>
    <w:rsid w:val="00B014D0"/>
    <w:rsid w:val="00B03CB0"/>
    <w:rsid w:val="00B041A9"/>
    <w:rsid w:val="00B0465E"/>
    <w:rsid w:val="00B1199E"/>
    <w:rsid w:val="00B1218F"/>
    <w:rsid w:val="00B13262"/>
    <w:rsid w:val="00B14C20"/>
    <w:rsid w:val="00B16238"/>
    <w:rsid w:val="00B17729"/>
    <w:rsid w:val="00B2154A"/>
    <w:rsid w:val="00B23F8B"/>
    <w:rsid w:val="00B27724"/>
    <w:rsid w:val="00B30F3D"/>
    <w:rsid w:val="00B432A0"/>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A64F6"/>
    <w:rsid w:val="00BB1C23"/>
    <w:rsid w:val="00BB4389"/>
    <w:rsid w:val="00BB568B"/>
    <w:rsid w:val="00BB61BE"/>
    <w:rsid w:val="00BB7172"/>
    <w:rsid w:val="00BC1B24"/>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4503"/>
    <w:rsid w:val="00BF0E8E"/>
    <w:rsid w:val="00BF16B2"/>
    <w:rsid w:val="00BF1A7F"/>
    <w:rsid w:val="00C00F37"/>
    <w:rsid w:val="00C01DF6"/>
    <w:rsid w:val="00C03F51"/>
    <w:rsid w:val="00C04F9B"/>
    <w:rsid w:val="00C10CC7"/>
    <w:rsid w:val="00C13225"/>
    <w:rsid w:val="00C14C86"/>
    <w:rsid w:val="00C179C4"/>
    <w:rsid w:val="00C229F8"/>
    <w:rsid w:val="00C315F8"/>
    <w:rsid w:val="00C322F1"/>
    <w:rsid w:val="00C33284"/>
    <w:rsid w:val="00C3414F"/>
    <w:rsid w:val="00C34F7E"/>
    <w:rsid w:val="00C371FA"/>
    <w:rsid w:val="00C46F61"/>
    <w:rsid w:val="00C47BB2"/>
    <w:rsid w:val="00C51C28"/>
    <w:rsid w:val="00C53456"/>
    <w:rsid w:val="00C57314"/>
    <w:rsid w:val="00C60C2D"/>
    <w:rsid w:val="00C61A4F"/>
    <w:rsid w:val="00C70043"/>
    <w:rsid w:val="00C73861"/>
    <w:rsid w:val="00C7432C"/>
    <w:rsid w:val="00C74A7B"/>
    <w:rsid w:val="00C75791"/>
    <w:rsid w:val="00C75D84"/>
    <w:rsid w:val="00C76304"/>
    <w:rsid w:val="00C77353"/>
    <w:rsid w:val="00C8471E"/>
    <w:rsid w:val="00C84955"/>
    <w:rsid w:val="00C86467"/>
    <w:rsid w:val="00C95C72"/>
    <w:rsid w:val="00C96B86"/>
    <w:rsid w:val="00C97DF7"/>
    <w:rsid w:val="00CA1571"/>
    <w:rsid w:val="00CA1A6A"/>
    <w:rsid w:val="00CA1E88"/>
    <w:rsid w:val="00CA6108"/>
    <w:rsid w:val="00CB766B"/>
    <w:rsid w:val="00CC0DEB"/>
    <w:rsid w:val="00CC2BD3"/>
    <w:rsid w:val="00CC356D"/>
    <w:rsid w:val="00CD109D"/>
    <w:rsid w:val="00CD1E9D"/>
    <w:rsid w:val="00CD6ABB"/>
    <w:rsid w:val="00CE1872"/>
    <w:rsid w:val="00CE5CF2"/>
    <w:rsid w:val="00CE7E1E"/>
    <w:rsid w:val="00CF54F1"/>
    <w:rsid w:val="00D00A5D"/>
    <w:rsid w:val="00D00A87"/>
    <w:rsid w:val="00D02F2F"/>
    <w:rsid w:val="00D03329"/>
    <w:rsid w:val="00D070C6"/>
    <w:rsid w:val="00D079A8"/>
    <w:rsid w:val="00D13087"/>
    <w:rsid w:val="00D16FA0"/>
    <w:rsid w:val="00D22105"/>
    <w:rsid w:val="00D26DCE"/>
    <w:rsid w:val="00D37995"/>
    <w:rsid w:val="00D5130A"/>
    <w:rsid w:val="00D51769"/>
    <w:rsid w:val="00D522D8"/>
    <w:rsid w:val="00D5491C"/>
    <w:rsid w:val="00D554E8"/>
    <w:rsid w:val="00D5748E"/>
    <w:rsid w:val="00D609E0"/>
    <w:rsid w:val="00D612A9"/>
    <w:rsid w:val="00D66935"/>
    <w:rsid w:val="00D75B2C"/>
    <w:rsid w:val="00D80021"/>
    <w:rsid w:val="00D80528"/>
    <w:rsid w:val="00D86392"/>
    <w:rsid w:val="00D8724C"/>
    <w:rsid w:val="00D938C1"/>
    <w:rsid w:val="00D94D56"/>
    <w:rsid w:val="00DA47A8"/>
    <w:rsid w:val="00DB3592"/>
    <w:rsid w:val="00DB4C93"/>
    <w:rsid w:val="00DB6585"/>
    <w:rsid w:val="00DC3F8A"/>
    <w:rsid w:val="00DC4AEA"/>
    <w:rsid w:val="00DD46E9"/>
    <w:rsid w:val="00DE0D00"/>
    <w:rsid w:val="00DE16CD"/>
    <w:rsid w:val="00DE51FA"/>
    <w:rsid w:val="00DE6492"/>
    <w:rsid w:val="00DE7339"/>
    <w:rsid w:val="00DF280B"/>
    <w:rsid w:val="00DF28B7"/>
    <w:rsid w:val="00DF3D0B"/>
    <w:rsid w:val="00DF68C0"/>
    <w:rsid w:val="00DF7F5A"/>
    <w:rsid w:val="00E00FFD"/>
    <w:rsid w:val="00E04C02"/>
    <w:rsid w:val="00E053B2"/>
    <w:rsid w:val="00E0568D"/>
    <w:rsid w:val="00E0644B"/>
    <w:rsid w:val="00E104C1"/>
    <w:rsid w:val="00E139D5"/>
    <w:rsid w:val="00E14CA5"/>
    <w:rsid w:val="00E152DF"/>
    <w:rsid w:val="00E17E25"/>
    <w:rsid w:val="00E22D1B"/>
    <w:rsid w:val="00E235F5"/>
    <w:rsid w:val="00E23783"/>
    <w:rsid w:val="00E26411"/>
    <w:rsid w:val="00E264BC"/>
    <w:rsid w:val="00E3038E"/>
    <w:rsid w:val="00E307B6"/>
    <w:rsid w:val="00E41AD6"/>
    <w:rsid w:val="00E42017"/>
    <w:rsid w:val="00E42730"/>
    <w:rsid w:val="00E45F09"/>
    <w:rsid w:val="00E46268"/>
    <w:rsid w:val="00E55854"/>
    <w:rsid w:val="00E628AD"/>
    <w:rsid w:val="00E64339"/>
    <w:rsid w:val="00E677BD"/>
    <w:rsid w:val="00E70C44"/>
    <w:rsid w:val="00E72B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2500"/>
    <w:rsid w:val="00EC3652"/>
    <w:rsid w:val="00EC4BF4"/>
    <w:rsid w:val="00EC4CD5"/>
    <w:rsid w:val="00EC7F14"/>
    <w:rsid w:val="00ED450E"/>
    <w:rsid w:val="00EE220A"/>
    <w:rsid w:val="00EE2853"/>
    <w:rsid w:val="00EF266D"/>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03E"/>
    <w:rsid w:val="00F27E65"/>
    <w:rsid w:val="00F36CC8"/>
    <w:rsid w:val="00F405C9"/>
    <w:rsid w:val="00F40A19"/>
    <w:rsid w:val="00F414CD"/>
    <w:rsid w:val="00F414F8"/>
    <w:rsid w:val="00F4339C"/>
    <w:rsid w:val="00F447E1"/>
    <w:rsid w:val="00F44FA1"/>
    <w:rsid w:val="00F451D5"/>
    <w:rsid w:val="00F4573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948DE"/>
    <w:rsid w:val="00FA0966"/>
    <w:rsid w:val="00FA5019"/>
    <w:rsid w:val="00FA6905"/>
    <w:rsid w:val="00FA7A01"/>
    <w:rsid w:val="00FB03E9"/>
    <w:rsid w:val="00FB4456"/>
    <w:rsid w:val="00FB455A"/>
    <w:rsid w:val="00FB5D74"/>
    <w:rsid w:val="00FC0950"/>
    <w:rsid w:val="00FC3A0E"/>
    <w:rsid w:val="00FD0A3A"/>
    <w:rsid w:val="00FD16AF"/>
    <w:rsid w:val="00FD1F4D"/>
    <w:rsid w:val="00FD2A3E"/>
    <w:rsid w:val="00FD6FFE"/>
    <w:rsid w:val="00FD7077"/>
    <w:rsid w:val="00FD7E53"/>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DF5285E-D74D-4344-AA78-DCA8D468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customStyle="1" w:styleId="PargrafodaListaChar">
    <w:name w:val="Parágrafo da Lista Char"/>
    <w:link w:val="PargrafodaLista"/>
    <w:uiPriority w:val="34"/>
    <w:locked/>
    <w:rsid w:val="00525260"/>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72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764435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0090090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812835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933552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7511522">
      <w:bodyDiv w:val="1"/>
      <w:marLeft w:val="0"/>
      <w:marRight w:val="0"/>
      <w:marTop w:val="0"/>
      <w:marBottom w:val="0"/>
      <w:divBdr>
        <w:top w:val="none" w:sz="0" w:space="0" w:color="auto"/>
        <w:left w:val="none" w:sz="0" w:space="0" w:color="auto"/>
        <w:bottom w:val="none" w:sz="0" w:space="0" w:color="auto"/>
        <w:right w:val="none" w:sz="0" w:space="0" w:color="auto"/>
      </w:divBdr>
    </w:div>
    <w:div w:id="735787271">
      <w:bodyDiv w:val="1"/>
      <w:marLeft w:val="0"/>
      <w:marRight w:val="0"/>
      <w:marTop w:val="0"/>
      <w:marBottom w:val="0"/>
      <w:divBdr>
        <w:top w:val="none" w:sz="0" w:space="0" w:color="auto"/>
        <w:left w:val="none" w:sz="0" w:space="0" w:color="auto"/>
        <w:bottom w:val="none" w:sz="0" w:space="0" w:color="auto"/>
        <w:right w:val="none" w:sz="0" w:space="0" w:color="auto"/>
      </w:divBdr>
    </w:div>
    <w:div w:id="766999903">
      <w:bodyDiv w:val="1"/>
      <w:marLeft w:val="0"/>
      <w:marRight w:val="0"/>
      <w:marTop w:val="0"/>
      <w:marBottom w:val="0"/>
      <w:divBdr>
        <w:top w:val="none" w:sz="0" w:space="0" w:color="auto"/>
        <w:left w:val="none" w:sz="0" w:space="0" w:color="auto"/>
        <w:bottom w:val="none" w:sz="0" w:space="0" w:color="auto"/>
        <w:right w:val="none" w:sz="0" w:space="0" w:color="auto"/>
      </w:divBdr>
    </w:div>
    <w:div w:id="77918644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14827793">
      <w:bodyDiv w:val="1"/>
      <w:marLeft w:val="0"/>
      <w:marRight w:val="0"/>
      <w:marTop w:val="0"/>
      <w:marBottom w:val="0"/>
      <w:divBdr>
        <w:top w:val="none" w:sz="0" w:space="0" w:color="auto"/>
        <w:left w:val="none" w:sz="0" w:space="0" w:color="auto"/>
        <w:bottom w:val="none" w:sz="0" w:space="0" w:color="auto"/>
        <w:right w:val="none" w:sz="0" w:space="0" w:color="auto"/>
      </w:divBdr>
    </w:div>
    <w:div w:id="919214414">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8336048">
      <w:bodyDiv w:val="1"/>
      <w:marLeft w:val="0"/>
      <w:marRight w:val="0"/>
      <w:marTop w:val="0"/>
      <w:marBottom w:val="0"/>
      <w:divBdr>
        <w:top w:val="none" w:sz="0" w:space="0" w:color="auto"/>
        <w:left w:val="none" w:sz="0" w:space="0" w:color="auto"/>
        <w:bottom w:val="none" w:sz="0" w:space="0" w:color="auto"/>
        <w:right w:val="none" w:sz="0" w:space="0" w:color="auto"/>
      </w:divBdr>
    </w:div>
    <w:div w:id="966281975">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4824685">
      <w:bodyDiv w:val="1"/>
      <w:marLeft w:val="0"/>
      <w:marRight w:val="0"/>
      <w:marTop w:val="0"/>
      <w:marBottom w:val="0"/>
      <w:divBdr>
        <w:top w:val="none" w:sz="0" w:space="0" w:color="auto"/>
        <w:left w:val="none" w:sz="0" w:space="0" w:color="auto"/>
        <w:bottom w:val="none" w:sz="0" w:space="0" w:color="auto"/>
        <w:right w:val="none" w:sz="0" w:space="0" w:color="auto"/>
      </w:divBdr>
    </w:div>
    <w:div w:id="1216893034">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3750245">
      <w:bodyDiv w:val="1"/>
      <w:marLeft w:val="0"/>
      <w:marRight w:val="0"/>
      <w:marTop w:val="0"/>
      <w:marBottom w:val="0"/>
      <w:divBdr>
        <w:top w:val="none" w:sz="0" w:space="0" w:color="auto"/>
        <w:left w:val="none" w:sz="0" w:space="0" w:color="auto"/>
        <w:bottom w:val="none" w:sz="0" w:space="0" w:color="auto"/>
        <w:right w:val="none" w:sz="0" w:space="0" w:color="auto"/>
      </w:divBdr>
    </w:div>
    <w:div w:id="131321510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42704459">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755367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1804824">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policiafederal.gov.b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520FA-CA6C-4FB7-8C84-8E5C8C12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100</TotalTime>
  <Pages>1</Pages>
  <Words>7205</Words>
  <Characters>38910</Characters>
  <Application>Microsoft Office Word</Application>
  <DocSecurity>0</DocSecurity>
  <Lines>324</Lines>
  <Paragraphs>92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Susiane Marques Costa</cp:lastModifiedBy>
  <cp:revision>8</cp:revision>
  <cp:lastPrinted>2015-02-26T17:38:00Z</cp:lastPrinted>
  <dcterms:created xsi:type="dcterms:W3CDTF">2015-02-12T18:24:00Z</dcterms:created>
  <dcterms:modified xsi:type="dcterms:W3CDTF">2015-02-26T18:44:00Z</dcterms:modified>
</cp:coreProperties>
</file>